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B56F"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DE477B4"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018B3B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D2DEB9C"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C1EAC03"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5F67D48"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CC192DD"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C25EBAA"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F1A94A6"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C0E9A86"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1881E2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39DBF5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6434"/>
      </w:tblGrid>
      <w:tr w:rsidR="001A2186" w:rsidRPr="00F661AE" w14:paraId="74EEB7A4" w14:textId="77777777" w:rsidTr="001A2186">
        <w:trPr>
          <w:jc w:val="center"/>
        </w:trPr>
        <w:tc>
          <w:tcPr>
            <w:tcW w:w="6434" w:type="dxa"/>
          </w:tcPr>
          <w:p w14:paraId="5C03DFDC" w14:textId="77777777" w:rsidR="001A2186" w:rsidRPr="00F661AE" w:rsidRDefault="001A2186" w:rsidP="00F64E9C">
            <w:pPr>
              <w:tabs>
                <w:tab w:val="left" w:pos="-720"/>
              </w:tabs>
              <w:suppressAutoHyphens/>
              <w:spacing w:before="90"/>
              <w:jc w:val="center"/>
              <w:rPr>
                <w:rFonts w:ascii="Times New Roman" w:hAnsi="Times New Roman"/>
                <w:i/>
                <w:spacing w:val="-3"/>
              </w:rPr>
            </w:pPr>
          </w:p>
          <w:p w14:paraId="1BAFDF8E" w14:textId="77777777" w:rsidR="001A2186" w:rsidRPr="00F661AE" w:rsidRDefault="001A2186" w:rsidP="00F64E9C">
            <w:pPr>
              <w:tabs>
                <w:tab w:val="left" w:pos="-720"/>
              </w:tabs>
              <w:suppressAutoHyphens/>
              <w:jc w:val="center"/>
              <w:rPr>
                <w:rFonts w:ascii="Times New Roman" w:hAnsi="Times New Roman"/>
                <w:i/>
                <w:spacing w:val="-3"/>
              </w:rPr>
            </w:pPr>
          </w:p>
          <w:p w14:paraId="451FFBE4" w14:textId="77777777" w:rsidR="001A2186" w:rsidRPr="00F661AE" w:rsidRDefault="001A2186" w:rsidP="00F64E9C">
            <w:pPr>
              <w:tabs>
                <w:tab w:val="left" w:pos="-720"/>
              </w:tabs>
              <w:suppressAutoHyphens/>
              <w:jc w:val="center"/>
              <w:rPr>
                <w:rFonts w:ascii="Times New Roman" w:hAnsi="Times New Roman"/>
                <w:b/>
                <w:i/>
                <w:spacing w:val="-4"/>
                <w:sz w:val="32"/>
                <w:szCs w:val="32"/>
              </w:rPr>
            </w:pPr>
            <w:r w:rsidRPr="00F661AE">
              <w:rPr>
                <w:rFonts w:ascii="Times New Roman" w:hAnsi="Times New Roman"/>
                <w:b/>
                <w:i/>
                <w:spacing w:val="-4"/>
                <w:sz w:val="32"/>
                <w:szCs w:val="32"/>
              </w:rPr>
              <w:t>PROMOCIÓN DE LA CIUDAD DE LAS PALMAS DE GRAN CANARIA, S.A.</w:t>
            </w:r>
          </w:p>
          <w:p w14:paraId="770F213B" w14:textId="77777777" w:rsidR="001A2186" w:rsidRPr="00F661AE" w:rsidRDefault="001A2186" w:rsidP="00F64E9C">
            <w:pPr>
              <w:tabs>
                <w:tab w:val="left" w:pos="-720"/>
              </w:tabs>
              <w:suppressAutoHyphens/>
              <w:jc w:val="center"/>
              <w:rPr>
                <w:rFonts w:ascii="Times New Roman" w:hAnsi="Times New Roman"/>
                <w:b/>
                <w:i/>
                <w:spacing w:val="-4"/>
                <w:sz w:val="32"/>
                <w:szCs w:val="32"/>
              </w:rPr>
            </w:pPr>
          </w:p>
          <w:p w14:paraId="1A7AD89C" w14:textId="77777777" w:rsidR="001A2186" w:rsidRPr="00F661AE" w:rsidRDefault="001A2186" w:rsidP="00F64E9C">
            <w:pPr>
              <w:tabs>
                <w:tab w:val="left" w:pos="-720"/>
              </w:tabs>
              <w:suppressAutoHyphens/>
              <w:jc w:val="center"/>
              <w:rPr>
                <w:rFonts w:ascii="Times New Roman" w:hAnsi="Times New Roman"/>
                <w:i/>
                <w:spacing w:val="-3"/>
                <w:sz w:val="28"/>
                <w:szCs w:val="28"/>
              </w:rPr>
            </w:pPr>
          </w:p>
          <w:p w14:paraId="75D49C08" w14:textId="77777777" w:rsidR="001A2186" w:rsidRPr="00F661AE" w:rsidRDefault="001A2186" w:rsidP="00F64E9C">
            <w:pPr>
              <w:tabs>
                <w:tab w:val="left" w:pos="-720"/>
              </w:tabs>
              <w:suppressAutoHyphens/>
              <w:jc w:val="center"/>
              <w:rPr>
                <w:rFonts w:ascii="Times New Roman" w:hAnsi="Times New Roman"/>
                <w:i/>
                <w:spacing w:val="-3"/>
                <w:sz w:val="28"/>
                <w:szCs w:val="28"/>
              </w:rPr>
            </w:pPr>
          </w:p>
          <w:p w14:paraId="7872C40E" w14:textId="77777777" w:rsidR="001A2186" w:rsidRPr="00F661AE" w:rsidRDefault="001A2186" w:rsidP="00F64E9C">
            <w:pPr>
              <w:tabs>
                <w:tab w:val="left" w:pos="-720"/>
              </w:tabs>
              <w:suppressAutoHyphens/>
              <w:jc w:val="center"/>
              <w:rPr>
                <w:rFonts w:ascii="Times New Roman" w:hAnsi="Times New Roman"/>
                <w:i/>
                <w:spacing w:val="-3"/>
                <w:sz w:val="28"/>
                <w:szCs w:val="28"/>
              </w:rPr>
            </w:pPr>
            <w:r w:rsidRPr="00F661AE">
              <w:rPr>
                <w:rFonts w:ascii="Times New Roman" w:hAnsi="Times New Roman"/>
                <w:b/>
                <w:i/>
                <w:spacing w:val="-3"/>
                <w:sz w:val="28"/>
                <w:szCs w:val="28"/>
              </w:rPr>
              <w:t>CUENTAS ANUALES</w:t>
            </w:r>
          </w:p>
          <w:p w14:paraId="65D855AE" w14:textId="55C100BB" w:rsidR="001A2186" w:rsidRPr="001A2186" w:rsidRDefault="001A2186" w:rsidP="001A2186">
            <w:pPr>
              <w:pStyle w:val="Ttulo1"/>
              <w:tabs>
                <w:tab w:val="left" w:pos="-720"/>
              </w:tabs>
              <w:jc w:val="center"/>
              <w:rPr>
                <w:rFonts w:ascii="Times New Roman" w:eastAsia="Times New Roman" w:hAnsi="Times New Roman" w:cs="Arial"/>
                <w:b/>
                <w:i/>
                <w:color w:val="auto"/>
                <w:spacing w:val="-3"/>
                <w:sz w:val="28"/>
                <w:szCs w:val="28"/>
              </w:rPr>
            </w:pPr>
            <w:r w:rsidRPr="001A2186">
              <w:rPr>
                <w:rFonts w:ascii="Times New Roman" w:eastAsia="Times New Roman" w:hAnsi="Times New Roman" w:cs="Arial"/>
                <w:b/>
                <w:i/>
                <w:color w:val="auto"/>
                <w:spacing w:val="-3"/>
                <w:sz w:val="28"/>
                <w:szCs w:val="28"/>
              </w:rPr>
              <w:t>EJERCICIO 2022</w:t>
            </w:r>
          </w:p>
          <w:p w14:paraId="375BD325" w14:textId="77777777" w:rsidR="001A2186" w:rsidRPr="00F661AE" w:rsidRDefault="001A2186" w:rsidP="00F64E9C">
            <w:pPr>
              <w:tabs>
                <w:tab w:val="left" w:pos="-720"/>
              </w:tabs>
              <w:suppressAutoHyphens/>
              <w:jc w:val="center"/>
              <w:rPr>
                <w:rFonts w:ascii="Times New Roman" w:hAnsi="Times New Roman"/>
                <w:i/>
                <w:spacing w:val="-3"/>
              </w:rPr>
            </w:pPr>
          </w:p>
          <w:p w14:paraId="58C01199" w14:textId="77777777" w:rsidR="001A2186" w:rsidRPr="00F661AE" w:rsidRDefault="001A2186" w:rsidP="00F64E9C">
            <w:pPr>
              <w:tabs>
                <w:tab w:val="left" w:pos="-720"/>
              </w:tabs>
              <w:suppressAutoHyphens/>
              <w:jc w:val="center"/>
              <w:rPr>
                <w:rFonts w:ascii="Times New Roman" w:hAnsi="Times New Roman"/>
                <w:i/>
                <w:spacing w:val="-3"/>
              </w:rPr>
            </w:pPr>
          </w:p>
          <w:p w14:paraId="5B700EA5" w14:textId="77777777" w:rsidR="001A2186" w:rsidRPr="00F661AE" w:rsidRDefault="001A2186" w:rsidP="00F64E9C">
            <w:pPr>
              <w:tabs>
                <w:tab w:val="left" w:pos="-720"/>
              </w:tabs>
              <w:suppressAutoHyphens/>
              <w:spacing w:after="54"/>
              <w:jc w:val="center"/>
              <w:rPr>
                <w:rFonts w:ascii="Times New Roman" w:hAnsi="Times New Roman"/>
                <w:i/>
                <w:spacing w:val="-3"/>
              </w:rPr>
            </w:pPr>
          </w:p>
        </w:tc>
      </w:tr>
    </w:tbl>
    <w:p w14:paraId="5E3D2C99"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1A59DD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CC5F3AB"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85E9EBE"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49F0362"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13" w:type="pct"/>
        <w:tblCellMar>
          <w:left w:w="70" w:type="dxa"/>
          <w:right w:w="70" w:type="dxa"/>
        </w:tblCellMar>
        <w:tblLook w:val="04A0" w:firstRow="1" w:lastRow="0" w:firstColumn="1" w:lastColumn="0" w:noHBand="0" w:noVBand="1"/>
      </w:tblPr>
      <w:tblGrid>
        <w:gridCol w:w="5811"/>
        <w:gridCol w:w="1079"/>
        <w:gridCol w:w="1524"/>
        <w:gridCol w:w="1524"/>
      </w:tblGrid>
      <w:tr w:rsidR="00BE5714" w:rsidRPr="001608C4" w14:paraId="15034999" w14:textId="77777777" w:rsidTr="001608C4">
        <w:trPr>
          <w:trHeight w:val="30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ED9F4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lastRenderedPageBreak/>
              <w:t>PROMOCIÓN DE LA CIUDAD DE LAS PALMAS DE GRAN CANARIA, S.A.</w:t>
            </w:r>
          </w:p>
        </w:tc>
      </w:tr>
      <w:tr w:rsidR="00BE5714" w:rsidRPr="001608C4" w14:paraId="23ECE44C" w14:textId="77777777" w:rsidTr="001608C4">
        <w:trPr>
          <w:trHeight w:val="3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B231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BALANCE AL CIERRE DEL EJERCICIO 2022</w:t>
            </w:r>
          </w:p>
        </w:tc>
      </w:tr>
      <w:tr w:rsidR="00BE5714" w:rsidRPr="001608C4" w14:paraId="6782E988" w14:textId="77777777" w:rsidTr="001608C4">
        <w:trPr>
          <w:trHeight w:val="246"/>
        </w:trPr>
        <w:tc>
          <w:tcPr>
            <w:tcW w:w="2923" w:type="pct"/>
            <w:tcBorders>
              <w:top w:val="nil"/>
              <w:left w:val="nil"/>
              <w:bottom w:val="nil"/>
              <w:right w:val="nil"/>
            </w:tcBorders>
            <w:shd w:val="clear" w:color="auto" w:fill="auto"/>
            <w:noWrap/>
            <w:vAlign w:val="center"/>
            <w:hideMark/>
          </w:tcPr>
          <w:p w14:paraId="51FEF60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543" w:type="pct"/>
            <w:tcBorders>
              <w:top w:val="nil"/>
              <w:left w:val="nil"/>
              <w:bottom w:val="nil"/>
              <w:right w:val="nil"/>
            </w:tcBorders>
            <w:shd w:val="clear" w:color="auto" w:fill="auto"/>
            <w:noWrap/>
            <w:vAlign w:val="center"/>
            <w:hideMark/>
          </w:tcPr>
          <w:p w14:paraId="3D3129C8"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p>
        </w:tc>
        <w:tc>
          <w:tcPr>
            <w:tcW w:w="767" w:type="pct"/>
            <w:tcBorders>
              <w:top w:val="nil"/>
              <w:left w:val="nil"/>
              <w:bottom w:val="nil"/>
              <w:right w:val="nil"/>
            </w:tcBorders>
            <w:shd w:val="clear" w:color="auto" w:fill="auto"/>
            <w:noWrap/>
            <w:vAlign w:val="center"/>
            <w:hideMark/>
          </w:tcPr>
          <w:p w14:paraId="221CC330"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766" w:type="pct"/>
            <w:tcBorders>
              <w:top w:val="nil"/>
              <w:left w:val="nil"/>
              <w:bottom w:val="nil"/>
              <w:right w:val="nil"/>
            </w:tcBorders>
            <w:shd w:val="clear" w:color="auto" w:fill="auto"/>
            <w:noWrap/>
            <w:vAlign w:val="center"/>
            <w:hideMark/>
          </w:tcPr>
          <w:p w14:paraId="4478C0A2"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r w:rsidR="00BE5714" w:rsidRPr="001608C4" w14:paraId="56F8CBD4" w14:textId="77777777" w:rsidTr="001608C4">
        <w:trPr>
          <w:trHeight w:val="491"/>
        </w:trPr>
        <w:tc>
          <w:tcPr>
            <w:tcW w:w="29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E8B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ACTIVO</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28FD73F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Notas de la memoria</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1E55DEF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2022</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5F583BBE"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2021</w:t>
            </w:r>
          </w:p>
        </w:tc>
      </w:tr>
      <w:tr w:rsidR="00BE5714" w:rsidRPr="001608C4" w14:paraId="0E5C7D2A" w14:textId="77777777" w:rsidTr="001608C4">
        <w:trPr>
          <w:trHeight w:val="376"/>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21B05BC2"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A) ACTIVO NO CORRIENTE</w:t>
            </w:r>
          </w:p>
        </w:tc>
        <w:tc>
          <w:tcPr>
            <w:tcW w:w="543" w:type="pct"/>
            <w:tcBorders>
              <w:top w:val="nil"/>
              <w:left w:val="nil"/>
              <w:bottom w:val="single" w:sz="4" w:space="0" w:color="auto"/>
              <w:right w:val="single" w:sz="4" w:space="0" w:color="auto"/>
            </w:tcBorders>
            <w:shd w:val="clear" w:color="auto" w:fill="auto"/>
            <w:noWrap/>
            <w:vAlign w:val="center"/>
            <w:hideMark/>
          </w:tcPr>
          <w:p w14:paraId="05BCEFD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single" w:sz="4" w:space="0" w:color="auto"/>
              <w:right w:val="single" w:sz="4" w:space="0" w:color="auto"/>
            </w:tcBorders>
            <w:shd w:val="clear" w:color="auto" w:fill="auto"/>
            <w:noWrap/>
            <w:vAlign w:val="center"/>
            <w:hideMark/>
          </w:tcPr>
          <w:p w14:paraId="3C4A57E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15.517.965,73 </w:t>
            </w:r>
          </w:p>
        </w:tc>
        <w:tc>
          <w:tcPr>
            <w:tcW w:w="766" w:type="pct"/>
            <w:tcBorders>
              <w:top w:val="nil"/>
              <w:left w:val="nil"/>
              <w:bottom w:val="single" w:sz="4" w:space="0" w:color="auto"/>
              <w:right w:val="single" w:sz="4" w:space="0" w:color="auto"/>
            </w:tcBorders>
            <w:shd w:val="clear" w:color="auto" w:fill="auto"/>
            <w:noWrap/>
            <w:vAlign w:val="center"/>
            <w:hideMark/>
          </w:tcPr>
          <w:p w14:paraId="0B1A6334"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15.605.265,21 </w:t>
            </w:r>
          </w:p>
        </w:tc>
      </w:tr>
      <w:tr w:rsidR="00BE5714" w:rsidRPr="001608C4" w14:paraId="1C94D34D"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0D3A5B60"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II. Inmovilizado material</w:t>
            </w:r>
          </w:p>
        </w:tc>
        <w:tc>
          <w:tcPr>
            <w:tcW w:w="543" w:type="pct"/>
            <w:tcBorders>
              <w:top w:val="nil"/>
              <w:left w:val="nil"/>
              <w:bottom w:val="nil"/>
              <w:right w:val="single" w:sz="4" w:space="0" w:color="auto"/>
            </w:tcBorders>
            <w:shd w:val="clear" w:color="auto" w:fill="auto"/>
            <w:noWrap/>
            <w:vAlign w:val="center"/>
            <w:hideMark/>
          </w:tcPr>
          <w:p w14:paraId="12D01E5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6</w:t>
            </w:r>
          </w:p>
        </w:tc>
        <w:tc>
          <w:tcPr>
            <w:tcW w:w="767" w:type="pct"/>
            <w:tcBorders>
              <w:top w:val="nil"/>
              <w:left w:val="nil"/>
              <w:bottom w:val="nil"/>
              <w:right w:val="single" w:sz="4" w:space="0" w:color="auto"/>
            </w:tcBorders>
            <w:shd w:val="clear" w:color="auto" w:fill="auto"/>
            <w:noWrap/>
            <w:vAlign w:val="center"/>
            <w:hideMark/>
          </w:tcPr>
          <w:p w14:paraId="55278B8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15.517.965,73 </w:t>
            </w:r>
          </w:p>
        </w:tc>
        <w:tc>
          <w:tcPr>
            <w:tcW w:w="766" w:type="pct"/>
            <w:tcBorders>
              <w:top w:val="nil"/>
              <w:left w:val="nil"/>
              <w:bottom w:val="nil"/>
              <w:right w:val="single" w:sz="4" w:space="0" w:color="auto"/>
            </w:tcBorders>
            <w:shd w:val="clear" w:color="auto" w:fill="auto"/>
            <w:noWrap/>
            <w:vAlign w:val="center"/>
            <w:hideMark/>
          </w:tcPr>
          <w:p w14:paraId="692070D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15.605.265,21 </w:t>
            </w:r>
          </w:p>
        </w:tc>
      </w:tr>
      <w:tr w:rsidR="00BE5714" w:rsidRPr="001608C4" w14:paraId="52A3D107" w14:textId="77777777" w:rsidTr="001608C4">
        <w:trPr>
          <w:trHeight w:val="279"/>
        </w:trPr>
        <w:tc>
          <w:tcPr>
            <w:tcW w:w="2923" w:type="pct"/>
            <w:tcBorders>
              <w:top w:val="nil"/>
              <w:left w:val="single" w:sz="4" w:space="0" w:color="auto"/>
              <w:bottom w:val="nil"/>
              <w:right w:val="single" w:sz="4" w:space="0" w:color="auto"/>
            </w:tcBorders>
            <w:shd w:val="clear" w:color="auto" w:fill="auto"/>
            <w:noWrap/>
            <w:vAlign w:val="center"/>
            <w:hideMark/>
          </w:tcPr>
          <w:p w14:paraId="147AEE7E"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1. Terrenos y construcciones</w:t>
            </w:r>
          </w:p>
        </w:tc>
        <w:tc>
          <w:tcPr>
            <w:tcW w:w="543" w:type="pct"/>
            <w:tcBorders>
              <w:top w:val="nil"/>
              <w:left w:val="nil"/>
              <w:bottom w:val="nil"/>
              <w:right w:val="single" w:sz="4" w:space="0" w:color="auto"/>
            </w:tcBorders>
            <w:shd w:val="clear" w:color="auto" w:fill="auto"/>
            <w:noWrap/>
            <w:vAlign w:val="center"/>
            <w:hideMark/>
          </w:tcPr>
          <w:p w14:paraId="4B1C101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0EA33F8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15.381.730,82 </w:t>
            </w:r>
          </w:p>
        </w:tc>
        <w:tc>
          <w:tcPr>
            <w:tcW w:w="766" w:type="pct"/>
            <w:tcBorders>
              <w:top w:val="nil"/>
              <w:left w:val="nil"/>
              <w:bottom w:val="nil"/>
              <w:right w:val="single" w:sz="4" w:space="0" w:color="auto"/>
            </w:tcBorders>
            <w:shd w:val="clear" w:color="auto" w:fill="auto"/>
            <w:noWrap/>
            <w:vAlign w:val="center"/>
            <w:hideMark/>
          </w:tcPr>
          <w:p w14:paraId="27C8850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15.496.919,85 </w:t>
            </w:r>
          </w:p>
        </w:tc>
      </w:tr>
      <w:tr w:rsidR="00BE5714" w:rsidRPr="001608C4" w14:paraId="1B489A6D" w14:textId="77777777" w:rsidTr="001608C4">
        <w:trPr>
          <w:trHeight w:val="279"/>
        </w:trPr>
        <w:tc>
          <w:tcPr>
            <w:tcW w:w="2923" w:type="pct"/>
            <w:tcBorders>
              <w:top w:val="nil"/>
              <w:left w:val="single" w:sz="4" w:space="0" w:color="auto"/>
              <w:bottom w:val="nil"/>
              <w:right w:val="single" w:sz="4" w:space="0" w:color="auto"/>
            </w:tcBorders>
            <w:shd w:val="clear" w:color="auto" w:fill="auto"/>
            <w:noWrap/>
            <w:vAlign w:val="center"/>
            <w:hideMark/>
          </w:tcPr>
          <w:p w14:paraId="7196ECEE"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2. Instalaciones técnicas y otro inmovilizado material.</w:t>
            </w:r>
          </w:p>
        </w:tc>
        <w:tc>
          <w:tcPr>
            <w:tcW w:w="543" w:type="pct"/>
            <w:tcBorders>
              <w:top w:val="nil"/>
              <w:left w:val="nil"/>
              <w:bottom w:val="nil"/>
              <w:right w:val="single" w:sz="4" w:space="0" w:color="auto"/>
            </w:tcBorders>
            <w:shd w:val="clear" w:color="auto" w:fill="auto"/>
            <w:noWrap/>
            <w:vAlign w:val="center"/>
            <w:hideMark/>
          </w:tcPr>
          <w:p w14:paraId="460C5C2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6338EB9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136.234,91 </w:t>
            </w:r>
          </w:p>
        </w:tc>
        <w:tc>
          <w:tcPr>
            <w:tcW w:w="766" w:type="pct"/>
            <w:tcBorders>
              <w:top w:val="nil"/>
              <w:left w:val="nil"/>
              <w:bottom w:val="nil"/>
              <w:right w:val="single" w:sz="4" w:space="0" w:color="auto"/>
            </w:tcBorders>
            <w:shd w:val="clear" w:color="auto" w:fill="auto"/>
            <w:noWrap/>
            <w:vAlign w:val="center"/>
            <w:hideMark/>
          </w:tcPr>
          <w:p w14:paraId="19B3A18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108.345,36 </w:t>
            </w:r>
          </w:p>
        </w:tc>
      </w:tr>
      <w:tr w:rsidR="00BE5714" w:rsidRPr="001608C4" w14:paraId="31D2C691" w14:textId="77777777" w:rsidTr="001608C4">
        <w:trPr>
          <w:trHeight w:val="393"/>
        </w:trPr>
        <w:tc>
          <w:tcPr>
            <w:tcW w:w="29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0E08"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B) ACTIVO CORRIENTE</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14:paraId="327C18D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5DD25C21"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5.112.805,15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6A253E45"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3.265.124,74 </w:t>
            </w:r>
          </w:p>
        </w:tc>
      </w:tr>
      <w:tr w:rsidR="00BE5714" w:rsidRPr="001608C4" w14:paraId="6D7B1D03"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7E1878E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III. Deudores comerciales y otras cuentas a cobrar</w:t>
            </w:r>
          </w:p>
        </w:tc>
        <w:tc>
          <w:tcPr>
            <w:tcW w:w="543" w:type="pct"/>
            <w:tcBorders>
              <w:top w:val="nil"/>
              <w:left w:val="single" w:sz="4" w:space="0" w:color="auto"/>
              <w:bottom w:val="nil"/>
              <w:right w:val="single" w:sz="4" w:space="0" w:color="auto"/>
            </w:tcBorders>
            <w:shd w:val="clear" w:color="auto" w:fill="auto"/>
            <w:noWrap/>
            <w:vAlign w:val="center"/>
            <w:hideMark/>
          </w:tcPr>
          <w:p w14:paraId="0BE3E42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767" w:type="pct"/>
            <w:tcBorders>
              <w:top w:val="nil"/>
              <w:left w:val="nil"/>
              <w:bottom w:val="nil"/>
              <w:right w:val="single" w:sz="4" w:space="0" w:color="auto"/>
            </w:tcBorders>
            <w:shd w:val="clear" w:color="auto" w:fill="auto"/>
            <w:noWrap/>
            <w:vAlign w:val="center"/>
            <w:hideMark/>
          </w:tcPr>
          <w:p w14:paraId="40B588A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3.989.622,39 </w:t>
            </w:r>
          </w:p>
        </w:tc>
        <w:tc>
          <w:tcPr>
            <w:tcW w:w="766" w:type="pct"/>
            <w:tcBorders>
              <w:top w:val="nil"/>
              <w:left w:val="nil"/>
              <w:bottom w:val="nil"/>
              <w:right w:val="single" w:sz="4" w:space="0" w:color="auto"/>
            </w:tcBorders>
            <w:shd w:val="clear" w:color="auto" w:fill="auto"/>
            <w:noWrap/>
            <w:vAlign w:val="center"/>
            <w:hideMark/>
          </w:tcPr>
          <w:p w14:paraId="0F488DF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2.629.839,86 </w:t>
            </w:r>
          </w:p>
        </w:tc>
      </w:tr>
      <w:tr w:rsidR="00BE5714" w:rsidRPr="001608C4" w14:paraId="58798C1F"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2714E597"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1. Clientes por ventas y prestaciones de servicios</w:t>
            </w:r>
          </w:p>
        </w:tc>
        <w:tc>
          <w:tcPr>
            <w:tcW w:w="543" w:type="pct"/>
            <w:tcBorders>
              <w:top w:val="nil"/>
              <w:left w:val="single" w:sz="4" w:space="0" w:color="auto"/>
              <w:bottom w:val="nil"/>
              <w:right w:val="single" w:sz="4" w:space="0" w:color="auto"/>
            </w:tcBorders>
            <w:shd w:val="clear" w:color="auto" w:fill="auto"/>
            <w:noWrap/>
            <w:vAlign w:val="center"/>
            <w:hideMark/>
          </w:tcPr>
          <w:p w14:paraId="67B8A21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312FADE4"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3.023.925,94 </w:t>
            </w:r>
          </w:p>
        </w:tc>
        <w:tc>
          <w:tcPr>
            <w:tcW w:w="766" w:type="pct"/>
            <w:tcBorders>
              <w:top w:val="nil"/>
              <w:left w:val="nil"/>
              <w:bottom w:val="nil"/>
              <w:right w:val="single" w:sz="4" w:space="0" w:color="auto"/>
            </w:tcBorders>
            <w:shd w:val="clear" w:color="auto" w:fill="auto"/>
            <w:noWrap/>
            <w:vAlign w:val="center"/>
            <w:hideMark/>
          </w:tcPr>
          <w:p w14:paraId="0D2ED3A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1.912.962,17 </w:t>
            </w:r>
          </w:p>
        </w:tc>
      </w:tr>
      <w:tr w:rsidR="00BE5714" w:rsidRPr="001608C4" w14:paraId="0A7C0940"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4A0169C9"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3. Deudores varios</w:t>
            </w:r>
          </w:p>
        </w:tc>
        <w:tc>
          <w:tcPr>
            <w:tcW w:w="543" w:type="pct"/>
            <w:tcBorders>
              <w:top w:val="nil"/>
              <w:left w:val="single" w:sz="4" w:space="0" w:color="auto"/>
              <w:bottom w:val="nil"/>
              <w:right w:val="single" w:sz="4" w:space="0" w:color="auto"/>
            </w:tcBorders>
            <w:shd w:val="clear" w:color="auto" w:fill="auto"/>
            <w:noWrap/>
            <w:vAlign w:val="center"/>
            <w:hideMark/>
          </w:tcPr>
          <w:p w14:paraId="33442CC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597658D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47.189,28 </w:t>
            </w:r>
          </w:p>
        </w:tc>
        <w:tc>
          <w:tcPr>
            <w:tcW w:w="766" w:type="pct"/>
            <w:tcBorders>
              <w:top w:val="nil"/>
              <w:left w:val="nil"/>
              <w:bottom w:val="nil"/>
              <w:right w:val="single" w:sz="4" w:space="0" w:color="auto"/>
            </w:tcBorders>
            <w:shd w:val="clear" w:color="auto" w:fill="auto"/>
            <w:noWrap/>
            <w:vAlign w:val="center"/>
            <w:hideMark/>
          </w:tcPr>
          <w:p w14:paraId="2C3BBAD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716.877,69 </w:t>
            </w:r>
          </w:p>
        </w:tc>
      </w:tr>
      <w:tr w:rsidR="00BE5714" w:rsidRPr="001608C4" w14:paraId="1AC5CD8E"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537B9DBD"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4. Personal</w:t>
            </w:r>
          </w:p>
        </w:tc>
        <w:tc>
          <w:tcPr>
            <w:tcW w:w="543" w:type="pct"/>
            <w:tcBorders>
              <w:top w:val="nil"/>
              <w:left w:val="single" w:sz="4" w:space="0" w:color="auto"/>
              <w:bottom w:val="nil"/>
              <w:right w:val="single" w:sz="4" w:space="0" w:color="auto"/>
            </w:tcBorders>
            <w:shd w:val="clear" w:color="auto" w:fill="auto"/>
            <w:noWrap/>
            <w:vAlign w:val="center"/>
            <w:hideMark/>
          </w:tcPr>
          <w:p w14:paraId="485F2C0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062A1179"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7.417,68 </w:t>
            </w:r>
          </w:p>
        </w:tc>
        <w:tc>
          <w:tcPr>
            <w:tcW w:w="766" w:type="pct"/>
            <w:tcBorders>
              <w:top w:val="nil"/>
              <w:left w:val="nil"/>
              <w:bottom w:val="nil"/>
              <w:right w:val="single" w:sz="4" w:space="0" w:color="auto"/>
            </w:tcBorders>
            <w:shd w:val="clear" w:color="auto" w:fill="auto"/>
            <w:noWrap/>
            <w:vAlign w:val="center"/>
            <w:hideMark/>
          </w:tcPr>
          <w:p w14:paraId="16ECF027"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0,00 </w:t>
            </w:r>
          </w:p>
        </w:tc>
      </w:tr>
      <w:tr w:rsidR="00BE5714" w:rsidRPr="001608C4" w14:paraId="62D64F65"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316B7BB5"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6. Otros créditos con las Administraciones Públicas</w:t>
            </w:r>
          </w:p>
        </w:tc>
        <w:tc>
          <w:tcPr>
            <w:tcW w:w="543" w:type="pct"/>
            <w:tcBorders>
              <w:top w:val="nil"/>
              <w:left w:val="single" w:sz="4" w:space="0" w:color="auto"/>
              <w:bottom w:val="nil"/>
              <w:right w:val="single" w:sz="4" w:space="0" w:color="auto"/>
            </w:tcBorders>
            <w:shd w:val="clear" w:color="auto" w:fill="auto"/>
            <w:noWrap/>
            <w:vAlign w:val="center"/>
            <w:hideMark/>
          </w:tcPr>
          <w:p w14:paraId="03758E4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10</w:t>
            </w:r>
          </w:p>
        </w:tc>
        <w:tc>
          <w:tcPr>
            <w:tcW w:w="767" w:type="pct"/>
            <w:tcBorders>
              <w:top w:val="nil"/>
              <w:left w:val="nil"/>
              <w:bottom w:val="nil"/>
              <w:right w:val="single" w:sz="4" w:space="0" w:color="auto"/>
            </w:tcBorders>
            <w:shd w:val="clear" w:color="auto" w:fill="auto"/>
            <w:noWrap/>
            <w:vAlign w:val="center"/>
            <w:hideMark/>
          </w:tcPr>
          <w:p w14:paraId="4FE0AE49"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911.089,49 </w:t>
            </w:r>
          </w:p>
        </w:tc>
        <w:tc>
          <w:tcPr>
            <w:tcW w:w="766" w:type="pct"/>
            <w:tcBorders>
              <w:top w:val="nil"/>
              <w:left w:val="nil"/>
              <w:bottom w:val="nil"/>
              <w:right w:val="single" w:sz="4" w:space="0" w:color="auto"/>
            </w:tcBorders>
            <w:shd w:val="clear" w:color="auto" w:fill="auto"/>
            <w:noWrap/>
            <w:vAlign w:val="center"/>
            <w:hideMark/>
          </w:tcPr>
          <w:p w14:paraId="798AF497"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0,00 </w:t>
            </w:r>
          </w:p>
        </w:tc>
      </w:tr>
      <w:tr w:rsidR="00BE5714" w:rsidRPr="001608C4" w14:paraId="0563D081"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52B0D05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 Inversiones financieras a corto plazo</w:t>
            </w:r>
          </w:p>
        </w:tc>
        <w:tc>
          <w:tcPr>
            <w:tcW w:w="543" w:type="pct"/>
            <w:tcBorders>
              <w:top w:val="nil"/>
              <w:left w:val="single" w:sz="4" w:space="0" w:color="auto"/>
              <w:bottom w:val="nil"/>
              <w:right w:val="single" w:sz="4" w:space="0" w:color="auto"/>
            </w:tcBorders>
            <w:shd w:val="clear" w:color="auto" w:fill="auto"/>
            <w:noWrap/>
            <w:vAlign w:val="center"/>
            <w:hideMark/>
          </w:tcPr>
          <w:p w14:paraId="6435CD6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767" w:type="pct"/>
            <w:tcBorders>
              <w:top w:val="nil"/>
              <w:left w:val="nil"/>
              <w:bottom w:val="nil"/>
              <w:right w:val="single" w:sz="4" w:space="0" w:color="auto"/>
            </w:tcBorders>
            <w:shd w:val="clear" w:color="auto" w:fill="auto"/>
            <w:noWrap/>
            <w:vAlign w:val="center"/>
            <w:hideMark/>
          </w:tcPr>
          <w:p w14:paraId="7F16F2C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0,00 </w:t>
            </w:r>
          </w:p>
        </w:tc>
        <w:tc>
          <w:tcPr>
            <w:tcW w:w="766" w:type="pct"/>
            <w:tcBorders>
              <w:top w:val="nil"/>
              <w:left w:val="nil"/>
              <w:bottom w:val="nil"/>
              <w:right w:val="single" w:sz="4" w:space="0" w:color="auto"/>
            </w:tcBorders>
            <w:shd w:val="clear" w:color="auto" w:fill="auto"/>
            <w:noWrap/>
            <w:vAlign w:val="center"/>
            <w:hideMark/>
          </w:tcPr>
          <w:p w14:paraId="2E6C221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36.000,00 </w:t>
            </w:r>
          </w:p>
        </w:tc>
      </w:tr>
      <w:tr w:rsidR="00BE5714" w:rsidRPr="001608C4" w14:paraId="5A512820"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61428EAC"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5. Otros activos financieros</w:t>
            </w:r>
          </w:p>
        </w:tc>
        <w:tc>
          <w:tcPr>
            <w:tcW w:w="543" w:type="pct"/>
            <w:tcBorders>
              <w:top w:val="nil"/>
              <w:left w:val="nil"/>
              <w:bottom w:val="nil"/>
              <w:right w:val="single" w:sz="4" w:space="0" w:color="auto"/>
            </w:tcBorders>
            <w:shd w:val="clear" w:color="auto" w:fill="auto"/>
            <w:noWrap/>
            <w:vAlign w:val="center"/>
            <w:hideMark/>
          </w:tcPr>
          <w:p w14:paraId="516843F6"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2804084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0,00 </w:t>
            </w:r>
          </w:p>
        </w:tc>
        <w:tc>
          <w:tcPr>
            <w:tcW w:w="766" w:type="pct"/>
            <w:tcBorders>
              <w:top w:val="nil"/>
              <w:left w:val="nil"/>
              <w:bottom w:val="nil"/>
              <w:right w:val="single" w:sz="4" w:space="0" w:color="auto"/>
            </w:tcBorders>
            <w:shd w:val="clear" w:color="auto" w:fill="auto"/>
            <w:noWrap/>
            <w:vAlign w:val="center"/>
            <w:hideMark/>
          </w:tcPr>
          <w:p w14:paraId="3DBEC32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36.000,00 </w:t>
            </w:r>
          </w:p>
        </w:tc>
      </w:tr>
      <w:tr w:rsidR="00BE5714" w:rsidRPr="001608C4" w14:paraId="505155D4"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767D2A9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VI. Periodificaciones a corto plazo</w:t>
            </w:r>
          </w:p>
        </w:tc>
        <w:tc>
          <w:tcPr>
            <w:tcW w:w="543" w:type="pct"/>
            <w:tcBorders>
              <w:top w:val="nil"/>
              <w:left w:val="single" w:sz="4" w:space="0" w:color="auto"/>
              <w:bottom w:val="nil"/>
              <w:right w:val="single" w:sz="4" w:space="0" w:color="auto"/>
            </w:tcBorders>
            <w:shd w:val="clear" w:color="auto" w:fill="auto"/>
            <w:noWrap/>
            <w:vAlign w:val="center"/>
            <w:hideMark/>
          </w:tcPr>
          <w:p w14:paraId="3AD8C4D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2903627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0,00 </w:t>
            </w:r>
          </w:p>
        </w:tc>
        <w:tc>
          <w:tcPr>
            <w:tcW w:w="766" w:type="pct"/>
            <w:tcBorders>
              <w:top w:val="nil"/>
              <w:left w:val="nil"/>
              <w:bottom w:val="nil"/>
              <w:right w:val="single" w:sz="4" w:space="0" w:color="auto"/>
            </w:tcBorders>
            <w:shd w:val="clear" w:color="auto" w:fill="auto"/>
            <w:noWrap/>
            <w:vAlign w:val="center"/>
            <w:hideMark/>
          </w:tcPr>
          <w:p w14:paraId="01E52F3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222.101,20 </w:t>
            </w:r>
          </w:p>
        </w:tc>
      </w:tr>
      <w:tr w:rsidR="00BE5714" w:rsidRPr="001608C4" w14:paraId="0A7D03F8" w14:textId="77777777" w:rsidTr="001608C4">
        <w:trPr>
          <w:trHeight w:val="246"/>
        </w:trPr>
        <w:tc>
          <w:tcPr>
            <w:tcW w:w="2923" w:type="pct"/>
            <w:tcBorders>
              <w:top w:val="nil"/>
              <w:left w:val="single" w:sz="4" w:space="0" w:color="auto"/>
              <w:bottom w:val="nil"/>
              <w:right w:val="nil"/>
            </w:tcBorders>
            <w:shd w:val="clear" w:color="auto" w:fill="auto"/>
            <w:noWrap/>
            <w:vAlign w:val="center"/>
            <w:hideMark/>
          </w:tcPr>
          <w:p w14:paraId="5B5681BB"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VII. Efectivo y otros activos líquidos equivalentes</w:t>
            </w:r>
          </w:p>
        </w:tc>
        <w:tc>
          <w:tcPr>
            <w:tcW w:w="543" w:type="pct"/>
            <w:tcBorders>
              <w:top w:val="nil"/>
              <w:left w:val="single" w:sz="4" w:space="0" w:color="auto"/>
              <w:bottom w:val="nil"/>
              <w:right w:val="single" w:sz="4" w:space="0" w:color="auto"/>
            </w:tcBorders>
            <w:shd w:val="clear" w:color="auto" w:fill="auto"/>
            <w:noWrap/>
            <w:vAlign w:val="center"/>
            <w:hideMark/>
          </w:tcPr>
          <w:p w14:paraId="20BBBA0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5CDB6E6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1.123.182,76 </w:t>
            </w:r>
          </w:p>
        </w:tc>
        <w:tc>
          <w:tcPr>
            <w:tcW w:w="766" w:type="pct"/>
            <w:tcBorders>
              <w:top w:val="nil"/>
              <w:left w:val="nil"/>
              <w:bottom w:val="nil"/>
              <w:right w:val="single" w:sz="4" w:space="0" w:color="auto"/>
            </w:tcBorders>
            <w:shd w:val="clear" w:color="auto" w:fill="auto"/>
            <w:noWrap/>
            <w:vAlign w:val="center"/>
            <w:hideMark/>
          </w:tcPr>
          <w:p w14:paraId="6926A461"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377.183,68 </w:t>
            </w:r>
          </w:p>
        </w:tc>
      </w:tr>
      <w:tr w:rsidR="00BE5714" w:rsidRPr="001608C4" w14:paraId="6F12C051"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790DF5B1"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1. Tesorería.</w:t>
            </w:r>
          </w:p>
        </w:tc>
        <w:tc>
          <w:tcPr>
            <w:tcW w:w="543" w:type="pct"/>
            <w:tcBorders>
              <w:top w:val="nil"/>
              <w:left w:val="nil"/>
              <w:bottom w:val="nil"/>
              <w:right w:val="single" w:sz="4" w:space="0" w:color="auto"/>
            </w:tcBorders>
            <w:shd w:val="clear" w:color="auto" w:fill="auto"/>
            <w:noWrap/>
            <w:vAlign w:val="center"/>
            <w:hideMark/>
          </w:tcPr>
          <w:p w14:paraId="279774C6"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786791F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1.123.182,76 </w:t>
            </w:r>
          </w:p>
        </w:tc>
        <w:tc>
          <w:tcPr>
            <w:tcW w:w="766" w:type="pct"/>
            <w:tcBorders>
              <w:top w:val="nil"/>
              <w:left w:val="nil"/>
              <w:bottom w:val="nil"/>
              <w:right w:val="single" w:sz="4" w:space="0" w:color="auto"/>
            </w:tcBorders>
            <w:shd w:val="clear" w:color="auto" w:fill="auto"/>
            <w:noWrap/>
            <w:vAlign w:val="center"/>
            <w:hideMark/>
          </w:tcPr>
          <w:p w14:paraId="3856A55D"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377.183,68 </w:t>
            </w:r>
          </w:p>
        </w:tc>
      </w:tr>
      <w:tr w:rsidR="00BE5714" w:rsidRPr="001608C4" w14:paraId="707A783D" w14:textId="77777777" w:rsidTr="001608C4">
        <w:trPr>
          <w:trHeight w:val="393"/>
        </w:trPr>
        <w:tc>
          <w:tcPr>
            <w:tcW w:w="29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D3F8"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proofErr w:type="gramStart"/>
            <w:r w:rsidRPr="001608C4">
              <w:rPr>
                <w:rFonts w:ascii="Times New Roman" w:hAnsi="Times New Roman" w:cs="Times New Roman"/>
                <w:b/>
                <w:bCs/>
                <w:sz w:val="16"/>
                <w:szCs w:val="16"/>
              </w:rPr>
              <w:t>TOTAL</w:t>
            </w:r>
            <w:proofErr w:type="gramEnd"/>
            <w:r w:rsidRPr="001608C4">
              <w:rPr>
                <w:rFonts w:ascii="Times New Roman" w:hAnsi="Times New Roman" w:cs="Times New Roman"/>
                <w:b/>
                <w:bCs/>
                <w:sz w:val="16"/>
                <w:szCs w:val="16"/>
              </w:rPr>
              <w:t xml:space="preserve"> ACTIVO </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14:paraId="7998A45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6FE56FE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20.630.770,88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5001CF4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18.870.389,95 </w:t>
            </w:r>
          </w:p>
        </w:tc>
      </w:tr>
      <w:tr w:rsidR="00BE5714" w:rsidRPr="001608C4" w14:paraId="7A9E11E2" w14:textId="77777777" w:rsidTr="001608C4">
        <w:trPr>
          <w:trHeight w:val="393"/>
        </w:trPr>
        <w:tc>
          <w:tcPr>
            <w:tcW w:w="2923" w:type="pct"/>
            <w:tcBorders>
              <w:top w:val="nil"/>
              <w:left w:val="nil"/>
              <w:bottom w:val="nil"/>
              <w:right w:val="nil"/>
            </w:tcBorders>
            <w:shd w:val="clear" w:color="auto" w:fill="auto"/>
            <w:noWrap/>
            <w:vAlign w:val="center"/>
            <w:hideMark/>
          </w:tcPr>
          <w:p w14:paraId="2563B00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543" w:type="pct"/>
            <w:tcBorders>
              <w:top w:val="nil"/>
              <w:left w:val="nil"/>
              <w:bottom w:val="nil"/>
              <w:right w:val="nil"/>
            </w:tcBorders>
            <w:shd w:val="clear" w:color="auto" w:fill="auto"/>
            <w:noWrap/>
            <w:vAlign w:val="center"/>
            <w:hideMark/>
          </w:tcPr>
          <w:p w14:paraId="7C63C2F1"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p>
        </w:tc>
        <w:tc>
          <w:tcPr>
            <w:tcW w:w="767" w:type="pct"/>
            <w:tcBorders>
              <w:top w:val="nil"/>
              <w:left w:val="nil"/>
              <w:bottom w:val="nil"/>
              <w:right w:val="nil"/>
            </w:tcBorders>
            <w:shd w:val="clear" w:color="auto" w:fill="auto"/>
            <w:noWrap/>
            <w:vAlign w:val="center"/>
            <w:hideMark/>
          </w:tcPr>
          <w:p w14:paraId="1A3A9AAE"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766" w:type="pct"/>
            <w:tcBorders>
              <w:top w:val="nil"/>
              <w:left w:val="nil"/>
              <w:bottom w:val="nil"/>
              <w:right w:val="nil"/>
            </w:tcBorders>
            <w:shd w:val="clear" w:color="auto" w:fill="auto"/>
            <w:noWrap/>
            <w:vAlign w:val="center"/>
            <w:hideMark/>
          </w:tcPr>
          <w:p w14:paraId="554CB3E4" w14:textId="77777777" w:rsidR="00BE5714" w:rsidRPr="001608C4" w:rsidRDefault="00BE5714" w:rsidP="00BE5714">
            <w:pPr>
              <w:widowControl/>
              <w:autoSpaceDE/>
              <w:autoSpaceDN/>
              <w:adjustRightInd/>
              <w:rPr>
                <w:rFonts w:ascii="Times New Roman" w:hAnsi="Times New Roman" w:cs="Times New Roman"/>
                <w:sz w:val="16"/>
                <w:szCs w:val="16"/>
              </w:rPr>
            </w:pPr>
          </w:p>
        </w:tc>
      </w:tr>
      <w:tr w:rsidR="00BE5714" w:rsidRPr="001608C4" w14:paraId="47EC57C0" w14:textId="77777777" w:rsidTr="001608C4">
        <w:trPr>
          <w:trHeight w:val="491"/>
        </w:trPr>
        <w:tc>
          <w:tcPr>
            <w:tcW w:w="29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1061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16F24A2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Notas de la memoria</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6812EEA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2022</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3959DFD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2021</w:t>
            </w:r>
          </w:p>
        </w:tc>
      </w:tr>
      <w:tr w:rsidR="00BE5714" w:rsidRPr="001608C4" w14:paraId="25142648" w14:textId="77777777" w:rsidTr="001608C4">
        <w:trPr>
          <w:trHeight w:val="393"/>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50EF4022"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A) PATRIMONIO NETO</w:t>
            </w:r>
          </w:p>
        </w:tc>
        <w:tc>
          <w:tcPr>
            <w:tcW w:w="543" w:type="pct"/>
            <w:tcBorders>
              <w:top w:val="nil"/>
              <w:left w:val="nil"/>
              <w:bottom w:val="single" w:sz="4" w:space="0" w:color="auto"/>
              <w:right w:val="single" w:sz="4" w:space="0" w:color="auto"/>
            </w:tcBorders>
            <w:shd w:val="clear" w:color="auto" w:fill="auto"/>
            <w:noWrap/>
            <w:vAlign w:val="center"/>
            <w:hideMark/>
          </w:tcPr>
          <w:p w14:paraId="057C3AF6"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09EEA45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15.362.724,80 </w:t>
            </w:r>
          </w:p>
        </w:tc>
        <w:tc>
          <w:tcPr>
            <w:tcW w:w="766" w:type="pct"/>
            <w:tcBorders>
              <w:top w:val="nil"/>
              <w:left w:val="nil"/>
              <w:bottom w:val="nil"/>
              <w:right w:val="single" w:sz="4" w:space="0" w:color="auto"/>
            </w:tcBorders>
            <w:shd w:val="clear" w:color="auto" w:fill="auto"/>
            <w:noWrap/>
            <w:vAlign w:val="center"/>
            <w:hideMark/>
          </w:tcPr>
          <w:p w14:paraId="2323878E"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17.090.012,75 </w:t>
            </w:r>
          </w:p>
        </w:tc>
      </w:tr>
      <w:tr w:rsidR="00BE5714" w:rsidRPr="001608C4" w14:paraId="2FFDB3AA" w14:textId="77777777" w:rsidTr="001608C4">
        <w:trPr>
          <w:trHeight w:val="100"/>
        </w:trPr>
        <w:tc>
          <w:tcPr>
            <w:tcW w:w="2923" w:type="pct"/>
            <w:tcBorders>
              <w:top w:val="nil"/>
              <w:left w:val="single" w:sz="4" w:space="0" w:color="auto"/>
              <w:bottom w:val="nil"/>
              <w:right w:val="single" w:sz="4" w:space="0" w:color="auto"/>
            </w:tcBorders>
            <w:shd w:val="clear" w:color="auto" w:fill="auto"/>
            <w:noWrap/>
            <w:vAlign w:val="center"/>
            <w:hideMark/>
          </w:tcPr>
          <w:p w14:paraId="110D6DE1"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nil"/>
              <w:right w:val="single" w:sz="4" w:space="0" w:color="auto"/>
            </w:tcBorders>
            <w:shd w:val="clear" w:color="auto" w:fill="auto"/>
            <w:noWrap/>
            <w:vAlign w:val="center"/>
            <w:hideMark/>
          </w:tcPr>
          <w:p w14:paraId="4B3CFC6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7" w:type="pct"/>
            <w:tcBorders>
              <w:top w:val="single" w:sz="4" w:space="0" w:color="auto"/>
              <w:left w:val="nil"/>
              <w:bottom w:val="nil"/>
              <w:right w:val="single" w:sz="4" w:space="0" w:color="auto"/>
            </w:tcBorders>
            <w:shd w:val="clear" w:color="auto" w:fill="auto"/>
            <w:noWrap/>
            <w:vAlign w:val="center"/>
            <w:hideMark/>
          </w:tcPr>
          <w:p w14:paraId="7DAC9119"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single" w:sz="4" w:space="0" w:color="auto"/>
              <w:left w:val="nil"/>
              <w:bottom w:val="nil"/>
              <w:right w:val="single" w:sz="4" w:space="0" w:color="auto"/>
            </w:tcBorders>
            <w:shd w:val="clear" w:color="auto" w:fill="auto"/>
            <w:noWrap/>
            <w:vAlign w:val="center"/>
            <w:hideMark/>
          </w:tcPr>
          <w:p w14:paraId="6047726D"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3DC0BAF2"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32E2421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A-1) Fondos propios</w:t>
            </w:r>
          </w:p>
        </w:tc>
        <w:tc>
          <w:tcPr>
            <w:tcW w:w="543" w:type="pct"/>
            <w:tcBorders>
              <w:top w:val="nil"/>
              <w:left w:val="nil"/>
              <w:bottom w:val="nil"/>
              <w:right w:val="single" w:sz="4" w:space="0" w:color="auto"/>
            </w:tcBorders>
            <w:shd w:val="clear" w:color="auto" w:fill="auto"/>
            <w:noWrap/>
            <w:vAlign w:val="center"/>
            <w:hideMark/>
          </w:tcPr>
          <w:p w14:paraId="2D0E7B8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9</w:t>
            </w:r>
          </w:p>
        </w:tc>
        <w:tc>
          <w:tcPr>
            <w:tcW w:w="767" w:type="pct"/>
            <w:tcBorders>
              <w:top w:val="nil"/>
              <w:left w:val="nil"/>
              <w:bottom w:val="nil"/>
              <w:right w:val="single" w:sz="4" w:space="0" w:color="auto"/>
            </w:tcBorders>
            <w:shd w:val="clear" w:color="auto" w:fill="auto"/>
            <w:noWrap/>
            <w:vAlign w:val="center"/>
            <w:hideMark/>
          </w:tcPr>
          <w:p w14:paraId="1FA661C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(19.497,54)</w:t>
            </w:r>
          </w:p>
        </w:tc>
        <w:tc>
          <w:tcPr>
            <w:tcW w:w="766" w:type="pct"/>
            <w:tcBorders>
              <w:top w:val="nil"/>
              <w:left w:val="nil"/>
              <w:bottom w:val="nil"/>
              <w:right w:val="single" w:sz="4" w:space="0" w:color="auto"/>
            </w:tcBorders>
            <w:shd w:val="clear" w:color="auto" w:fill="auto"/>
            <w:noWrap/>
            <w:vAlign w:val="center"/>
            <w:hideMark/>
          </w:tcPr>
          <w:p w14:paraId="4D01164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1.592.601,38 </w:t>
            </w:r>
          </w:p>
        </w:tc>
      </w:tr>
      <w:tr w:rsidR="00BE5714" w:rsidRPr="001608C4" w14:paraId="070039ED"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25D0BA3F" w14:textId="77777777" w:rsidR="00BE5714" w:rsidRPr="001608C4" w:rsidRDefault="00BE5714" w:rsidP="00BE5714">
            <w:pPr>
              <w:widowControl/>
              <w:autoSpaceDE/>
              <w:autoSpaceDN/>
              <w:adjustRightInd/>
              <w:ind w:firstLineChars="300" w:firstLine="482"/>
              <w:rPr>
                <w:rFonts w:ascii="Times New Roman" w:hAnsi="Times New Roman" w:cs="Times New Roman"/>
                <w:b/>
                <w:bCs/>
                <w:sz w:val="16"/>
                <w:szCs w:val="16"/>
              </w:rPr>
            </w:pPr>
            <w:r w:rsidRPr="001608C4">
              <w:rPr>
                <w:rFonts w:ascii="Times New Roman" w:hAnsi="Times New Roman" w:cs="Times New Roman"/>
                <w:b/>
                <w:bCs/>
                <w:sz w:val="16"/>
                <w:szCs w:val="16"/>
              </w:rPr>
              <w:t>I. Capital</w:t>
            </w:r>
          </w:p>
        </w:tc>
        <w:tc>
          <w:tcPr>
            <w:tcW w:w="543" w:type="pct"/>
            <w:tcBorders>
              <w:top w:val="nil"/>
              <w:left w:val="nil"/>
              <w:bottom w:val="nil"/>
              <w:right w:val="single" w:sz="4" w:space="0" w:color="auto"/>
            </w:tcBorders>
            <w:shd w:val="clear" w:color="auto" w:fill="auto"/>
            <w:noWrap/>
            <w:vAlign w:val="center"/>
            <w:hideMark/>
          </w:tcPr>
          <w:p w14:paraId="5385BEA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4CF0F11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2.060.102,00 </w:t>
            </w:r>
          </w:p>
        </w:tc>
        <w:tc>
          <w:tcPr>
            <w:tcW w:w="766" w:type="pct"/>
            <w:tcBorders>
              <w:top w:val="nil"/>
              <w:left w:val="nil"/>
              <w:bottom w:val="nil"/>
              <w:right w:val="single" w:sz="4" w:space="0" w:color="auto"/>
            </w:tcBorders>
            <w:shd w:val="clear" w:color="auto" w:fill="auto"/>
            <w:noWrap/>
            <w:vAlign w:val="center"/>
            <w:hideMark/>
          </w:tcPr>
          <w:p w14:paraId="525E4EC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2.060.102,00 </w:t>
            </w:r>
          </w:p>
        </w:tc>
      </w:tr>
      <w:tr w:rsidR="00BE5714" w:rsidRPr="001608C4" w14:paraId="009D907A"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2EBAFD95" w14:textId="77777777" w:rsidR="00BE5714" w:rsidRPr="001608C4" w:rsidRDefault="00BE5714" w:rsidP="00BE5714">
            <w:pPr>
              <w:widowControl/>
              <w:autoSpaceDE/>
              <w:autoSpaceDN/>
              <w:adjustRightInd/>
              <w:ind w:firstLineChars="400" w:firstLine="640"/>
              <w:rPr>
                <w:rFonts w:ascii="Times New Roman" w:hAnsi="Times New Roman" w:cs="Times New Roman"/>
                <w:sz w:val="16"/>
                <w:szCs w:val="16"/>
              </w:rPr>
            </w:pPr>
            <w:r w:rsidRPr="001608C4">
              <w:rPr>
                <w:rFonts w:ascii="Times New Roman" w:hAnsi="Times New Roman" w:cs="Times New Roman"/>
                <w:sz w:val="16"/>
                <w:szCs w:val="16"/>
              </w:rPr>
              <w:t>1. Capital Escriturado</w:t>
            </w:r>
          </w:p>
        </w:tc>
        <w:tc>
          <w:tcPr>
            <w:tcW w:w="543" w:type="pct"/>
            <w:tcBorders>
              <w:top w:val="nil"/>
              <w:left w:val="nil"/>
              <w:bottom w:val="nil"/>
              <w:right w:val="single" w:sz="4" w:space="0" w:color="auto"/>
            </w:tcBorders>
            <w:shd w:val="clear" w:color="auto" w:fill="auto"/>
            <w:noWrap/>
            <w:vAlign w:val="center"/>
            <w:hideMark/>
          </w:tcPr>
          <w:p w14:paraId="569F17B7"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305DB879"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2.060.102,00 </w:t>
            </w:r>
          </w:p>
        </w:tc>
        <w:tc>
          <w:tcPr>
            <w:tcW w:w="766" w:type="pct"/>
            <w:tcBorders>
              <w:top w:val="nil"/>
              <w:left w:val="nil"/>
              <w:bottom w:val="nil"/>
              <w:right w:val="single" w:sz="4" w:space="0" w:color="auto"/>
            </w:tcBorders>
            <w:shd w:val="clear" w:color="auto" w:fill="auto"/>
            <w:noWrap/>
            <w:vAlign w:val="center"/>
            <w:hideMark/>
          </w:tcPr>
          <w:p w14:paraId="167AD08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2.060.102,00 </w:t>
            </w:r>
          </w:p>
        </w:tc>
      </w:tr>
      <w:tr w:rsidR="00BE5714" w:rsidRPr="001608C4" w14:paraId="0367B9A6"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37BC40DB" w14:textId="77777777" w:rsidR="00BE5714" w:rsidRPr="001608C4" w:rsidRDefault="00BE5714" w:rsidP="00BE5714">
            <w:pPr>
              <w:widowControl/>
              <w:autoSpaceDE/>
              <w:autoSpaceDN/>
              <w:adjustRightInd/>
              <w:ind w:firstLineChars="300" w:firstLine="482"/>
              <w:rPr>
                <w:rFonts w:ascii="Times New Roman" w:hAnsi="Times New Roman" w:cs="Times New Roman"/>
                <w:b/>
                <w:bCs/>
                <w:sz w:val="16"/>
                <w:szCs w:val="16"/>
              </w:rPr>
            </w:pPr>
            <w:r w:rsidRPr="001608C4">
              <w:rPr>
                <w:rFonts w:ascii="Times New Roman" w:hAnsi="Times New Roman" w:cs="Times New Roman"/>
                <w:b/>
                <w:bCs/>
                <w:sz w:val="16"/>
                <w:szCs w:val="16"/>
              </w:rPr>
              <w:t>III. Reservas</w:t>
            </w:r>
          </w:p>
        </w:tc>
        <w:tc>
          <w:tcPr>
            <w:tcW w:w="543" w:type="pct"/>
            <w:tcBorders>
              <w:top w:val="nil"/>
              <w:left w:val="nil"/>
              <w:bottom w:val="nil"/>
              <w:right w:val="single" w:sz="4" w:space="0" w:color="auto"/>
            </w:tcBorders>
            <w:shd w:val="clear" w:color="auto" w:fill="auto"/>
            <w:noWrap/>
            <w:vAlign w:val="center"/>
            <w:hideMark/>
          </w:tcPr>
          <w:p w14:paraId="4C10F5A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41AD537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(467.500,62)</w:t>
            </w:r>
          </w:p>
        </w:tc>
        <w:tc>
          <w:tcPr>
            <w:tcW w:w="766" w:type="pct"/>
            <w:tcBorders>
              <w:top w:val="nil"/>
              <w:left w:val="nil"/>
              <w:bottom w:val="nil"/>
              <w:right w:val="single" w:sz="4" w:space="0" w:color="auto"/>
            </w:tcBorders>
            <w:shd w:val="clear" w:color="auto" w:fill="auto"/>
            <w:noWrap/>
            <w:vAlign w:val="center"/>
            <w:hideMark/>
          </w:tcPr>
          <w:p w14:paraId="3168253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(483.757,76)</w:t>
            </w:r>
          </w:p>
        </w:tc>
      </w:tr>
      <w:tr w:rsidR="00BE5714" w:rsidRPr="001608C4" w14:paraId="21D8331D"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3D49B78C" w14:textId="77777777" w:rsidR="00BE5714" w:rsidRPr="001608C4" w:rsidRDefault="00BE5714" w:rsidP="00BE5714">
            <w:pPr>
              <w:widowControl/>
              <w:autoSpaceDE/>
              <w:autoSpaceDN/>
              <w:adjustRightInd/>
              <w:ind w:firstLineChars="400" w:firstLine="640"/>
              <w:rPr>
                <w:rFonts w:ascii="Times New Roman" w:hAnsi="Times New Roman" w:cs="Times New Roman"/>
                <w:sz w:val="16"/>
                <w:szCs w:val="16"/>
              </w:rPr>
            </w:pPr>
            <w:r w:rsidRPr="001608C4">
              <w:rPr>
                <w:rFonts w:ascii="Times New Roman" w:hAnsi="Times New Roman" w:cs="Times New Roman"/>
                <w:sz w:val="16"/>
                <w:szCs w:val="16"/>
              </w:rPr>
              <w:t>2. Otras reservas</w:t>
            </w:r>
          </w:p>
        </w:tc>
        <w:tc>
          <w:tcPr>
            <w:tcW w:w="543" w:type="pct"/>
            <w:tcBorders>
              <w:top w:val="nil"/>
              <w:left w:val="nil"/>
              <w:bottom w:val="nil"/>
              <w:right w:val="single" w:sz="4" w:space="0" w:color="auto"/>
            </w:tcBorders>
            <w:shd w:val="clear" w:color="auto" w:fill="auto"/>
            <w:noWrap/>
            <w:vAlign w:val="center"/>
            <w:hideMark/>
          </w:tcPr>
          <w:p w14:paraId="50135013"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0FF3B70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(467.500,62)</w:t>
            </w:r>
          </w:p>
        </w:tc>
        <w:tc>
          <w:tcPr>
            <w:tcW w:w="766" w:type="pct"/>
            <w:tcBorders>
              <w:top w:val="nil"/>
              <w:left w:val="nil"/>
              <w:bottom w:val="nil"/>
              <w:right w:val="single" w:sz="4" w:space="0" w:color="auto"/>
            </w:tcBorders>
            <w:shd w:val="clear" w:color="auto" w:fill="auto"/>
            <w:noWrap/>
            <w:vAlign w:val="center"/>
            <w:hideMark/>
          </w:tcPr>
          <w:p w14:paraId="13C258E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(483.757,76)</w:t>
            </w:r>
          </w:p>
        </w:tc>
      </w:tr>
      <w:tr w:rsidR="00BE5714" w:rsidRPr="001608C4" w14:paraId="5FC0D2E0"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7E2D99AD" w14:textId="77777777" w:rsidR="00BE5714" w:rsidRPr="001608C4" w:rsidRDefault="00BE5714" w:rsidP="00BE5714">
            <w:pPr>
              <w:widowControl/>
              <w:autoSpaceDE/>
              <w:autoSpaceDN/>
              <w:adjustRightInd/>
              <w:ind w:firstLineChars="300" w:firstLine="482"/>
              <w:rPr>
                <w:rFonts w:ascii="Times New Roman" w:hAnsi="Times New Roman" w:cs="Times New Roman"/>
                <w:b/>
                <w:bCs/>
                <w:sz w:val="16"/>
                <w:szCs w:val="16"/>
              </w:rPr>
            </w:pPr>
            <w:r w:rsidRPr="001608C4">
              <w:rPr>
                <w:rFonts w:ascii="Times New Roman" w:hAnsi="Times New Roman" w:cs="Times New Roman"/>
                <w:b/>
                <w:bCs/>
                <w:sz w:val="16"/>
                <w:szCs w:val="16"/>
              </w:rPr>
              <w:t>V. Resultado de ejercicios anteriores</w:t>
            </w:r>
          </w:p>
        </w:tc>
        <w:tc>
          <w:tcPr>
            <w:tcW w:w="543" w:type="pct"/>
            <w:tcBorders>
              <w:top w:val="nil"/>
              <w:left w:val="nil"/>
              <w:bottom w:val="nil"/>
              <w:right w:val="single" w:sz="4" w:space="0" w:color="auto"/>
            </w:tcBorders>
            <w:shd w:val="clear" w:color="auto" w:fill="auto"/>
            <w:noWrap/>
            <w:vAlign w:val="center"/>
            <w:hideMark/>
          </w:tcPr>
          <w:p w14:paraId="366D804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21DE019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0,00 </w:t>
            </w:r>
          </w:p>
        </w:tc>
        <w:tc>
          <w:tcPr>
            <w:tcW w:w="766" w:type="pct"/>
            <w:tcBorders>
              <w:top w:val="nil"/>
              <w:left w:val="nil"/>
              <w:bottom w:val="nil"/>
              <w:right w:val="single" w:sz="4" w:space="0" w:color="auto"/>
            </w:tcBorders>
            <w:shd w:val="clear" w:color="auto" w:fill="auto"/>
            <w:noWrap/>
            <w:vAlign w:val="center"/>
            <w:hideMark/>
          </w:tcPr>
          <w:p w14:paraId="5CEF349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(16.307,05)</w:t>
            </w:r>
          </w:p>
        </w:tc>
      </w:tr>
      <w:tr w:rsidR="00BE5714" w:rsidRPr="001608C4" w14:paraId="5A83A860"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0366D5A9" w14:textId="77777777" w:rsidR="00BE5714" w:rsidRPr="001608C4" w:rsidRDefault="00BE5714" w:rsidP="00BE5714">
            <w:pPr>
              <w:widowControl/>
              <w:autoSpaceDE/>
              <w:autoSpaceDN/>
              <w:adjustRightInd/>
              <w:ind w:firstLineChars="300" w:firstLine="482"/>
              <w:rPr>
                <w:rFonts w:ascii="Times New Roman" w:hAnsi="Times New Roman" w:cs="Times New Roman"/>
                <w:b/>
                <w:bCs/>
                <w:sz w:val="16"/>
                <w:szCs w:val="16"/>
              </w:rPr>
            </w:pPr>
            <w:r w:rsidRPr="001608C4">
              <w:rPr>
                <w:rFonts w:ascii="Times New Roman" w:hAnsi="Times New Roman" w:cs="Times New Roman"/>
                <w:b/>
                <w:bCs/>
                <w:sz w:val="16"/>
                <w:szCs w:val="16"/>
              </w:rPr>
              <w:t>VII. Resultado del ejercicio</w:t>
            </w:r>
          </w:p>
        </w:tc>
        <w:tc>
          <w:tcPr>
            <w:tcW w:w="543" w:type="pct"/>
            <w:tcBorders>
              <w:top w:val="nil"/>
              <w:left w:val="nil"/>
              <w:bottom w:val="nil"/>
              <w:right w:val="single" w:sz="4" w:space="0" w:color="auto"/>
            </w:tcBorders>
            <w:shd w:val="clear" w:color="auto" w:fill="auto"/>
            <w:noWrap/>
            <w:vAlign w:val="center"/>
            <w:hideMark/>
          </w:tcPr>
          <w:p w14:paraId="1B1F78A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21648AB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(1.612.098,92)</w:t>
            </w:r>
          </w:p>
        </w:tc>
        <w:tc>
          <w:tcPr>
            <w:tcW w:w="766" w:type="pct"/>
            <w:tcBorders>
              <w:top w:val="nil"/>
              <w:left w:val="nil"/>
              <w:bottom w:val="nil"/>
              <w:right w:val="single" w:sz="4" w:space="0" w:color="auto"/>
            </w:tcBorders>
            <w:shd w:val="clear" w:color="auto" w:fill="auto"/>
            <w:noWrap/>
            <w:vAlign w:val="center"/>
            <w:hideMark/>
          </w:tcPr>
          <w:p w14:paraId="292A657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32.564,19 </w:t>
            </w:r>
          </w:p>
        </w:tc>
      </w:tr>
      <w:tr w:rsidR="00BE5714" w:rsidRPr="001608C4" w14:paraId="6B3F5262"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07DF476A"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A-3) Subvenciones, donaciones y legados recibidos.</w:t>
            </w:r>
          </w:p>
        </w:tc>
        <w:tc>
          <w:tcPr>
            <w:tcW w:w="543" w:type="pct"/>
            <w:tcBorders>
              <w:top w:val="nil"/>
              <w:left w:val="nil"/>
              <w:bottom w:val="nil"/>
              <w:right w:val="single" w:sz="4" w:space="0" w:color="auto"/>
            </w:tcBorders>
            <w:shd w:val="clear" w:color="auto" w:fill="auto"/>
            <w:noWrap/>
            <w:vAlign w:val="center"/>
            <w:hideMark/>
          </w:tcPr>
          <w:p w14:paraId="1BC36D8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12</w:t>
            </w:r>
          </w:p>
        </w:tc>
        <w:tc>
          <w:tcPr>
            <w:tcW w:w="767" w:type="pct"/>
            <w:tcBorders>
              <w:top w:val="nil"/>
              <w:left w:val="nil"/>
              <w:bottom w:val="nil"/>
              <w:right w:val="single" w:sz="4" w:space="0" w:color="auto"/>
            </w:tcBorders>
            <w:shd w:val="clear" w:color="auto" w:fill="auto"/>
            <w:noWrap/>
            <w:vAlign w:val="center"/>
            <w:hideMark/>
          </w:tcPr>
          <w:p w14:paraId="334C7F9F"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15.382.222,34 </w:t>
            </w:r>
          </w:p>
        </w:tc>
        <w:tc>
          <w:tcPr>
            <w:tcW w:w="766" w:type="pct"/>
            <w:tcBorders>
              <w:top w:val="nil"/>
              <w:left w:val="nil"/>
              <w:bottom w:val="nil"/>
              <w:right w:val="single" w:sz="4" w:space="0" w:color="auto"/>
            </w:tcBorders>
            <w:shd w:val="clear" w:color="auto" w:fill="auto"/>
            <w:noWrap/>
            <w:vAlign w:val="center"/>
            <w:hideMark/>
          </w:tcPr>
          <w:p w14:paraId="18C8D27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15.497.411,37 </w:t>
            </w:r>
          </w:p>
        </w:tc>
      </w:tr>
      <w:tr w:rsidR="00BE5714" w:rsidRPr="001608C4" w14:paraId="52D45571" w14:textId="77777777" w:rsidTr="001608C4">
        <w:trPr>
          <w:trHeight w:val="100"/>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77485F0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single" w:sz="4" w:space="0" w:color="auto"/>
              <w:right w:val="single" w:sz="4" w:space="0" w:color="auto"/>
            </w:tcBorders>
            <w:shd w:val="clear" w:color="auto" w:fill="auto"/>
            <w:noWrap/>
            <w:vAlign w:val="center"/>
            <w:hideMark/>
          </w:tcPr>
          <w:p w14:paraId="2E7373D4"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1E2F5A7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nil"/>
              <w:left w:val="nil"/>
              <w:bottom w:val="nil"/>
              <w:right w:val="single" w:sz="4" w:space="0" w:color="auto"/>
            </w:tcBorders>
            <w:shd w:val="clear" w:color="auto" w:fill="auto"/>
            <w:noWrap/>
            <w:vAlign w:val="center"/>
            <w:hideMark/>
          </w:tcPr>
          <w:p w14:paraId="19AE67E4"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63737122" w14:textId="77777777" w:rsidTr="001608C4">
        <w:trPr>
          <w:trHeight w:val="393"/>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36DEB20F"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B) PASIVO NO CORRIENTE</w:t>
            </w:r>
          </w:p>
        </w:tc>
        <w:tc>
          <w:tcPr>
            <w:tcW w:w="543" w:type="pct"/>
            <w:tcBorders>
              <w:top w:val="nil"/>
              <w:left w:val="nil"/>
              <w:bottom w:val="single" w:sz="4" w:space="0" w:color="auto"/>
              <w:right w:val="single" w:sz="4" w:space="0" w:color="auto"/>
            </w:tcBorders>
            <w:shd w:val="clear" w:color="auto" w:fill="auto"/>
            <w:noWrap/>
            <w:vAlign w:val="center"/>
            <w:hideMark/>
          </w:tcPr>
          <w:p w14:paraId="1861B36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772C5AF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0,00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7BAAD32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17.374,40 </w:t>
            </w:r>
          </w:p>
        </w:tc>
      </w:tr>
      <w:tr w:rsidR="00BE5714" w:rsidRPr="001608C4" w14:paraId="3D1FD340" w14:textId="77777777" w:rsidTr="001608C4">
        <w:trPr>
          <w:trHeight w:val="100"/>
        </w:trPr>
        <w:tc>
          <w:tcPr>
            <w:tcW w:w="2923" w:type="pct"/>
            <w:tcBorders>
              <w:top w:val="nil"/>
              <w:left w:val="single" w:sz="4" w:space="0" w:color="auto"/>
              <w:bottom w:val="nil"/>
              <w:right w:val="single" w:sz="4" w:space="0" w:color="auto"/>
            </w:tcBorders>
            <w:shd w:val="clear" w:color="auto" w:fill="auto"/>
            <w:noWrap/>
            <w:vAlign w:val="center"/>
            <w:hideMark/>
          </w:tcPr>
          <w:p w14:paraId="5EC809D4"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nil"/>
              <w:right w:val="single" w:sz="4" w:space="0" w:color="auto"/>
            </w:tcBorders>
            <w:shd w:val="clear" w:color="auto" w:fill="auto"/>
            <w:noWrap/>
            <w:vAlign w:val="center"/>
            <w:hideMark/>
          </w:tcPr>
          <w:p w14:paraId="3B2DFA1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6DE0D3D1"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nil"/>
              <w:left w:val="nil"/>
              <w:bottom w:val="nil"/>
              <w:right w:val="single" w:sz="4" w:space="0" w:color="auto"/>
            </w:tcBorders>
            <w:shd w:val="clear" w:color="auto" w:fill="auto"/>
            <w:noWrap/>
            <w:vAlign w:val="center"/>
            <w:hideMark/>
          </w:tcPr>
          <w:p w14:paraId="652AFC5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6EDDF8FF"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08F80DD4"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III. Deudas con empresas del grupo y asociadas a largo plazo.</w:t>
            </w:r>
          </w:p>
        </w:tc>
        <w:tc>
          <w:tcPr>
            <w:tcW w:w="543" w:type="pct"/>
            <w:tcBorders>
              <w:top w:val="nil"/>
              <w:left w:val="nil"/>
              <w:bottom w:val="nil"/>
              <w:right w:val="single" w:sz="4" w:space="0" w:color="auto"/>
            </w:tcBorders>
            <w:shd w:val="clear" w:color="auto" w:fill="auto"/>
            <w:noWrap/>
            <w:vAlign w:val="center"/>
            <w:hideMark/>
          </w:tcPr>
          <w:p w14:paraId="2F372DB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767" w:type="pct"/>
            <w:tcBorders>
              <w:top w:val="nil"/>
              <w:left w:val="nil"/>
              <w:bottom w:val="nil"/>
              <w:right w:val="single" w:sz="4" w:space="0" w:color="auto"/>
            </w:tcBorders>
            <w:shd w:val="clear" w:color="auto" w:fill="auto"/>
            <w:noWrap/>
            <w:vAlign w:val="center"/>
            <w:hideMark/>
          </w:tcPr>
          <w:p w14:paraId="72E2C6E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0,00 </w:t>
            </w:r>
          </w:p>
        </w:tc>
        <w:tc>
          <w:tcPr>
            <w:tcW w:w="766" w:type="pct"/>
            <w:tcBorders>
              <w:top w:val="nil"/>
              <w:left w:val="nil"/>
              <w:bottom w:val="nil"/>
              <w:right w:val="single" w:sz="4" w:space="0" w:color="auto"/>
            </w:tcBorders>
            <w:shd w:val="clear" w:color="auto" w:fill="auto"/>
            <w:noWrap/>
            <w:vAlign w:val="center"/>
            <w:hideMark/>
          </w:tcPr>
          <w:p w14:paraId="00F5C04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17.374,40 </w:t>
            </w:r>
          </w:p>
        </w:tc>
      </w:tr>
      <w:tr w:rsidR="00BE5714" w:rsidRPr="001608C4" w14:paraId="2A7AD4E9" w14:textId="77777777" w:rsidTr="001608C4">
        <w:trPr>
          <w:trHeight w:val="117"/>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54A637FC"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single" w:sz="4" w:space="0" w:color="auto"/>
              <w:right w:val="single" w:sz="4" w:space="0" w:color="auto"/>
            </w:tcBorders>
            <w:shd w:val="clear" w:color="auto" w:fill="auto"/>
            <w:noWrap/>
            <w:vAlign w:val="center"/>
            <w:hideMark/>
          </w:tcPr>
          <w:p w14:paraId="07BEB2C4"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39DCB21D"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nil"/>
              <w:left w:val="nil"/>
              <w:bottom w:val="nil"/>
              <w:right w:val="single" w:sz="4" w:space="0" w:color="auto"/>
            </w:tcBorders>
            <w:shd w:val="clear" w:color="auto" w:fill="auto"/>
            <w:noWrap/>
            <w:vAlign w:val="center"/>
            <w:hideMark/>
          </w:tcPr>
          <w:p w14:paraId="62A9E31E"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14A31B86" w14:textId="77777777" w:rsidTr="001608C4">
        <w:trPr>
          <w:trHeight w:val="393"/>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4546AE6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C) PASIVO CORRIENTE</w:t>
            </w:r>
          </w:p>
        </w:tc>
        <w:tc>
          <w:tcPr>
            <w:tcW w:w="543" w:type="pct"/>
            <w:tcBorders>
              <w:top w:val="nil"/>
              <w:left w:val="nil"/>
              <w:bottom w:val="single" w:sz="4" w:space="0" w:color="auto"/>
              <w:right w:val="single" w:sz="4" w:space="0" w:color="auto"/>
            </w:tcBorders>
            <w:shd w:val="clear" w:color="auto" w:fill="auto"/>
            <w:noWrap/>
            <w:vAlign w:val="center"/>
            <w:hideMark/>
          </w:tcPr>
          <w:p w14:paraId="439DBBB9"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1537904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5.268.046,08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0FA6FF7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1.763.002,80 </w:t>
            </w:r>
          </w:p>
        </w:tc>
      </w:tr>
      <w:tr w:rsidR="00BE5714" w:rsidRPr="001608C4" w14:paraId="6041E3DA" w14:textId="77777777" w:rsidTr="001608C4">
        <w:trPr>
          <w:trHeight w:val="100"/>
        </w:trPr>
        <w:tc>
          <w:tcPr>
            <w:tcW w:w="2923" w:type="pct"/>
            <w:tcBorders>
              <w:top w:val="nil"/>
              <w:left w:val="single" w:sz="4" w:space="0" w:color="auto"/>
              <w:bottom w:val="nil"/>
              <w:right w:val="single" w:sz="4" w:space="0" w:color="auto"/>
            </w:tcBorders>
            <w:shd w:val="clear" w:color="auto" w:fill="auto"/>
            <w:noWrap/>
            <w:vAlign w:val="center"/>
            <w:hideMark/>
          </w:tcPr>
          <w:p w14:paraId="5063AC5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nil"/>
              <w:right w:val="single" w:sz="4" w:space="0" w:color="auto"/>
            </w:tcBorders>
            <w:shd w:val="clear" w:color="auto" w:fill="auto"/>
            <w:noWrap/>
            <w:vAlign w:val="center"/>
            <w:hideMark/>
          </w:tcPr>
          <w:p w14:paraId="1AD8269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714DD25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nil"/>
              <w:left w:val="nil"/>
              <w:bottom w:val="nil"/>
              <w:right w:val="single" w:sz="4" w:space="0" w:color="auto"/>
            </w:tcBorders>
            <w:shd w:val="clear" w:color="auto" w:fill="auto"/>
            <w:noWrap/>
            <w:vAlign w:val="center"/>
            <w:hideMark/>
          </w:tcPr>
          <w:p w14:paraId="518B18C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419830A8"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5ACF1B6E"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III. Deudas a corto plazo.</w:t>
            </w:r>
          </w:p>
        </w:tc>
        <w:tc>
          <w:tcPr>
            <w:tcW w:w="543" w:type="pct"/>
            <w:tcBorders>
              <w:top w:val="nil"/>
              <w:left w:val="nil"/>
              <w:bottom w:val="nil"/>
              <w:right w:val="single" w:sz="4" w:space="0" w:color="auto"/>
            </w:tcBorders>
            <w:shd w:val="clear" w:color="auto" w:fill="auto"/>
            <w:noWrap/>
            <w:vAlign w:val="center"/>
            <w:hideMark/>
          </w:tcPr>
          <w:p w14:paraId="565C20C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767" w:type="pct"/>
            <w:tcBorders>
              <w:top w:val="nil"/>
              <w:left w:val="nil"/>
              <w:bottom w:val="nil"/>
              <w:right w:val="single" w:sz="4" w:space="0" w:color="auto"/>
            </w:tcBorders>
            <w:shd w:val="clear" w:color="auto" w:fill="auto"/>
            <w:noWrap/>
            <w:vAlign w:val="center"/>
            <w:hideMark/>
          </w:tcPr>
          <w:p w14:paraId="27616521"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90.161,59 </w:t>
            </w:r>
          </w:p>
        </w:tc>
        <w:tc>
          <w:tcPr>
            <w:tcW w:w="766" w:type="pct"/>
            <w:tcBorders>
              <w:top w:val="nil"/>
              <w:left w:val="nil"/>
              <w:bottom w:val="nil"/>
              <w:right w:val="single" w:sz="4" w:space="0" w:color="auto"/>
            </w:tcBorders>
            <w:shd w:val="clear" w:color="auto" w:fill="auto"/>
            <w:noWrap/>
            <w:vAlign w:val="center"/>
            <w:hideMark/>
          </w:tcPr>
          <w:p w14:paraId="5E7174B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45.352,31 </w:t>
            </w:r>
          </w:p>
        </w:tc>
      </w:tr>
      <w:tr w:rsidR="00BE5714" w:rsidRPr="001608C4" w14:paraId="77B7686A"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068F6724" w14:textId="77777777" w:rsidR="00BE5714" w:rsidRPr="001608C4" w:rsidRDefault="00BE5714" w:rsidP="00BE5714">
            <w:pPr>
              <w:widowControl/>
              <w:autoSpaceDE/>
              <w:autoSpaceDN/>
              <w:adjustRightInd/>
              <w:ind w:firstLineChars="500" w:firstLine="800"/>
              <w:rPr>
                <w:rFonts w:ascii="Times New Roman" w:hAnsi="Times New Roman" w:cs="Times New Roman"/>
                <w:sz w:val="16"/>
                <w:szCs w:val="16"/>
              </w:rPr>
            </w:pPr>
            <w:r w:rsidRPr="001608C4">
              <w:rPr>
                <w:rFonts w:ascii="Times New Roman" w:hAnsi="Times New Roman" w:cs="Times New Roman"/>
                <w:sz w:val="16"/>
                <w:szCs w:val="16"/>
              </w:rPr>
              <w:t>2. Deudas con entidades de crédito</w:t>
            </w:r>
          </w:p>
        </w:tc>
        <w:tc>
          <w:tcPr>
            <w:tcW w:w="543" w:type="pct"/>
            <w:tcBorders>
              <w:top w:val="nil"/>
              <w:left w:val="nil"/>
              <w:bottom w:val="nil"/>
              <w:right w:val="single" w:sz="4" w:space="0" w:color="auto"/>
            </w:tcBorders>
            <w:shd w:val="clear" w:color="auto" w:fill="auto"/>
            <w:noWrap/>
            <w:vAlign w:val="center"/>
            <w:hideMark/>
          </w:tcPr>
          <w:p w14:paraId="467475D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7CD9A7E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30.000,00 </w:t>
            </w:r>
          </w:p>
        </w:tc>
        <w:tc>
          <w:tcPr>
            <w:tcW w:w="766" w:type="pct"/>
            <w:tcBorders>
              <w:top w:val="nil"/>
              <w:left w:val="nil"/>
              <w:bottom w:val="nil"/>
              <w:right w:val="single" w:sz="4" w:space="0" w:color="auto"/>
            </w:tcBorders>
            <w:shd w:val="clear" w:color="auto" w:fill="auto"/>
            <w:noWrap/>
            <w:vAlign w:val="center"/>
            <w:hideMark/>
          </w:tcPr>
          <w:p w14:paraId="450BFB6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0,00 </w:t>
            </w:r>
          </w:p>
        </w:tc>
      </w:tr>
      <w:tr w:rsidR="00BE5714" w:rsidRPr="001608C4" w14:paraId="27AC31F2"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522DA2D8" w14:textId="77777777" w:rsidR="00BE5714" w:rsidRPr="001608C4" w:rsidRDefault="00BE5714" w:rsidP="00BE5714">
            <w:pPr>
              <w:widowControl/>
              <w:autoSpaceDE/>
              <w:autoSpaceDN/>
              <w:adjustRightInd/>
              <w:ind w:firstLineChars="500" w:firstLine="800"/>
              <w:rPr>
                <w:rFonts w:ascii="Times New Roman" w:hAnsi="Times New Roman" w:cs="Times New Roman"/>
                <w:sz w:val="16"/>
                <w:szCs w:val="16"/>
              </w:rPr>
            </w:pPr>
            <w:r w:rsidRPr="001608C4">
              <w:rPr>
                <w:rFonts w:ascii="Times New Roman" w:hAnsi="Times New Roman" w:cs="Times New Roman"/>
                <w:sz w:val="16"/>
                <w:szCs w:val="16"/>
              </w:rPr>
              <w:t>5. Otros pasivos financieros</w:t>
            </w:r>
          </w:p>
        </w:tc>
        <w:tc>
          <w:tcPr>
            <w:tcW w:w="543" w:type="pct"/>
            <w:tcBorders>
              <w:top w:val="nil"/>
              <w:left w:val="nil"/>
              <w:bottom w:val="nil"/>
              <w:right w:val="single" w:sz="4" w:space="0" w:color="auto"/>
            </w:tcBorders>
            <w:shd w:val="clear" w:color="auto" w:fill="auto"/>
            <w:noWrap/>
            <w:vAlign w:val="center"/>
            <w:hideMark/>
          </w:tcPr>
          <w:p w14:paraId="3BCD078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43A644F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60.161,59 </w:t>
            </w:r>
          </w:p>
        </w:tc>
        <w:tc>
          <w:tcPr>
            <w:tcW w:w="766" w:type="pct"/>
            <w:tcBorders>
              <w:top w:val="nil"/>
              <w:left w:val="nil"/>
              <w:bottom w:val="nil"/>
              <w:right w:val="single" w:sz="4" w:space="0" w:color="auto"/>
            </w:tcBorders>
            <w:shd w:val="clear" w:color="auto" w:fill="auto"/>
            <w:noWrap/>
            <w:vAlign w:val="center"/>
            <w:hideMark/>
          </w:tcPr>
          <w:p w14:paraId="5CB1AFA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45.352,31 </w:t>
            </w:r>
          </w:p>
        </w:tc>
      </w:tr>
      <w:tr w:rsidR="00BE5714" w:rsidRPr="001608C4" w14:paraId="4BABAD38"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1404E510"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IV. Deudas con empresas del grupo y asociadas a corto plazo</w:t>
            </w:r>
          </w:p>
        </w:tc>
        <w:tc>
          <w:tcPr>
            <w:tcW w:w="543" w:type="pct"/>
            <w:tcBorders>
              <w:top w:val="nil"/>
              <w:left w:val="nil"/>
              <w:bottom w:val="nil"/>
              <w:right w:val="single" w:sz="4" w:space="0" w:color="auto"/>
            </w:tcBorders>
            <w:shd w:val="clear" w:color="auto" w:fill="auto"/>
            <w:noWrap/>
            <w:vAlign w:val="center"/>
            <w:hideMark/>
          </w:tcPr>
          <w:p w14:paraId="1AD4499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5D18EBB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107.721,35 </w:t>
            </w:r>
          </w:p>
        </w:tc>
        <w:tc>
          <w:tcPr>
            <w:tcW w:w="766" w:type="pct"/>
            <w:tcBorders>
              <w:top w:val="nil"/>
              <w:left w:val="nil"/>
              <w:bottom w:val="nil"/>
              <w:right w:val="single" w:sz="4" w:space="0" w:color="auto"/>
            </w:tcBorders>
            <w:shd w:val="clear" w:color="auto" w:fill="auto"/>
            <w:noWrap/>
            <w:vAlign w:val="center"/>
            <w:hideMark/>
          </w:tcPr>
          <w:p w14:paraId="2017C9F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176.524,11 </w:t>
            </w:r>
          </w:p>
        </w:tc>
      </w:tr>
      <w:tr w:rsidR="00BE5714" w:rsidRPr="001608C4" w14:paraId="5AB1D8C8"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142128CB"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V. Acreedores comerciales y otras cuentas a pagar</w:t>
            </w:r>
          </w:p>
        </w:tc>
        <w:tc>
          <w:tcPr>
            <w:tcW w:w="543" w:type="pct"/>
            <w:tcBorders>
              <w:top w:val="nil"/>
              <w:left w:val="nil"/>
              <w:bottom w:val="nil"/>
              <w:right w:val="single" w:sz="4" w:space="0" w:color="auto"/>
            </w:tcBorders>
            <w:shd w:val="clear" w:color="auto" w:fill="auto"/>
            <w:noWrap/>
            <w:vAlign w:val="center"/>
            <w:hideMark/>
          </w:tcPr>
          <w:p w14:paraId="5726B95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767" w:type="pct"/>
            <w:tcBorders>
              <w:top w:val="nil"/>
              <w:left w:val="nil"/>
              <w:bottom w:val="nil"/>
              <w:right w:val="single" w:sz="4" w:space="0" w:color="auto"/>
            </w:tcBorders>
            <w:shd w:val="clear" w:color="auto" w:fill="auto"/>
            <w:noWrap/>
            <w:vAlign w:val="center"/>
            <w:hideMark/>
          </w:tcPr>
          <w:p w14:paraId="03A1A81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5.070.163,14 </w:t>
            </w:r>
          </w:p>
        </w:tc>
        <w:tc>
          <w:tcPr>
            <w:tcW w:w="766" w:type="pct"/>
            <w:tcBorders>
              <w:top w:val="nil"/>
              <w:left w:val="nil"/>
              <w:bottom w:val="nil"/>
              <w:right w:val="single" w:sz="4" w:space="0" w:color="auto"/>
            </w:tcBorders>
            <w:shd w:val="clear" w:color="auto" w:fill="auto"/>
            <w:noWrap/>
            <w:vAlign w:val="center"/>
            <w:hideMark/>
          </w:tcPr>
          <w:p w14:paraId="6BBA072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1.541.126,38 </w:t>
            </w:r>
          </w:p>
        </w:tc>
      </w:tr>
      <w:tr w:rsidR="00BE5714" w:rsidRPr="001608C4" w14:paraId="55E2D05E"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73D65AAD" w14:textId="77777777" w:rsidR="00BE5714" w:rsidRPr="001608C4" w:rsidRDefault="00BE5714" w:rsidP="00BE5714">
            <w:pPr>
              <w:widowControl/>
              <w:autoSpaceDE/>
              <w:autoSpaceDN/>
              <w:adjustRightInd/>
              <w:ind w:firstLineChars="500" w:firstLine="800"/>
              <w:rPr>
                <w:rFonts w:ascii="Times New Roman" w:hAnsi="Times New Roman" w:cs="Times New Roman"/>
                <w:sz w:val="16"/>
                <w:szCs w:val="16"/>
              </w:rPr>
            </w:pPr>
            <w:r w:rsidRPr="001608C4">
              <w:rPr>
                <w:rFonts w:ascii="Times New Roman" w:hAnsi="Times New Roman" w:cs="Times New Roman"/>
                <w:sz w:val="16"/>
                <w:szCs w:val="16"/>
              </w:rPr>
              <w:t>3. Acreedores varios</w:t>
            </w:r>
          </w:p>
        </w:tc>
        <w:tc>
          <w:tcPr>
            <w:tcW w:w="543" w:type="pct"/>
            <w:tcBorders>
              <w:top w:val="nil"/>
              <w:left w:val="nil"/>
              <w:bottom w:val="nil"/>
              <w:right w:val="single" w:sz="4" w:space="0" w:color="auto"/>
            </w:tcBorders>
            <w:shd w:val="clear" w:color="auto" w:fill="auto"/>
            <w:noWrap/>
            <w:vAlign w:val="center"/>
            <w:hideMark/>
          </w:tcPr>
          <w:p w14:paraId="01619FE1"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193F2620"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4.879.735,25 </w:t>
            </w:r>
          </w:p>
        </w:tc>
        <w:tc>
          <w:tcPr>
            <w:tcW w:w="766" w:type="pct"/>
            <w:tcBorders>
              <w:top w:val="nil"/>
              <w:left w:val="nil"/>
              <w:bottom w:val="nil"/>
              <w:right w:val="single" w:sz="4" w:space="0" w:color="auto"/>
            </w:tcBorders>
            <w:shd w:val="clear" w:color="auto" w:fill="auto"/>
            <w:noWrap/>
            <w:vAlign w:val="center"/>
            <w:hideMark/>
          </w:tcPr>
          <w:p w14:paraId="26A6539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1.385.376,94 </w:t>
            </w:r>
          </w:p>
        </w:tc>
      </w:tr>
      <w:tr w:rsidR="00BE5714" w:rsidRPr="001608C4" w14:paraId="52EFF342" w14:textId="77777777" w:rsidTr="001608C4">
        <w:trPr>
          <w:trHeight w:val="246"/>
        </w:trPr>
        <w:tc>
          <w:tcPr>
            <w:tcW w:w="2923" w:type="pct"/>
            <w:tcBorders>
              <w:top w:val="nil"/>
              <w:left w:val="single" w:sz="4" w:space="0" w:color="auto"/>
              <w:bottom w:val="nil"/>
              <w:right w:val="single" w:sz="4" w:space="0" w:color="auto"/>
            </w:tcBorders>
            <w:shd w:val="clear" w:color="auto" w:fill="auto"/>
            <w:noWrap/>
            <w:vAlign w:val="center"/>
            <w:hideMark/>
          </w:tcPr>
          <w:p w14:paraId="796080EC" w14:textId="77777777" w:rsidR="00BE5714" w:rsidRPr="001608C4" w:rsidRDefault="00BE5714" w:rsidP="00BE5714">
            <w:pPr>
              <w:widowControl/>
              <w:autoSpaceDE/>
              <w:autoSpaceDN/>
              <w:adjustRightInd/>
              <w:ind w:firstLineChars="500" w:firstLine="800"/>
              <w:rPr>
                <w:rFonts w:ascii="Times New Roman" w:hAnsi="Times New Roman" w:cs="Times New Roman"/>
                <w:sz w:val="16"/>
                <w:szCs w:val="16"/>
              </w:rPr>
            </w:pPr>
            <w:r w:rsidRPr="001608C4">
              <w:rPr>
                <w:rFonts w:ascii="Times New Roman" w:hAnsi="Times New Roman" w:cs="Times New Roman"/>
                <w:sz w:val="16"/>
                <w:szCs w:val="16"/>
              </w:rPr>
              <w:t>4. Personal (remuneraciones pendientes de pago)</w:t>
            </w:r>
          </w:p>
        </w:tc>
        <w:tc>
          <w:tcPr>
            <w:tcW w:w="543" w:type="pct"/>
            <w:tcBorders>
              <w:top w:val="nil"/>
              <w:left w:val="nil"/>
              <w:bottom w:val="nil"/>
              <w:right w:val="single" w:sz="4" w:space="0" w:color="auto"/>
            </w:tcBorders>
            <w:shd w:val="clear" w:color="auto" w:fill="auto"/>
            <w:noWrap/>
            <w:vAlign w:val="center"/>
            <w:hideMark/>
          </w:tcPr>
          <w:p w14:paraId="063ECCE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32488F3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1.225,61 </w:t>
            </w:r>
          </w:p>
        </w:tc>
        <w:tc>
          <w:tcPr>
            <w:tcW w:w="766" w:type="pct"/>
            <w:tcBorders>
              <w:top w:val="nil"/>
              <w:left w:val="nil"/>
              <w:bottom w:val="nil"/>
              <w:right w:val="single" w:sz="4" w:space="0" w:color="auto"/>
            </w:tcBorders>
            <w:shd w:val="clear" w:color="auto" w:fill="auto"/>
            <w:noWrap/>
            <w:vAlign w:val="center"/>
            <w:hideMark/>
          </w:tcPr>
          <w:p w14:paraId="24AB1922"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446,56 </w:t>
            </w:r>
          </w:p>
        </w:tc>
      </w:tr>
      <w:tr w:rsidR="00BE5714" w:rsidRPr="001608C4" w14:paraId="04E71442" w14:textId="77777777" w:rsidTr="001608C4">
        <w:trPr>
          <w:trHeight w:val="262"/>
        </w:trPr>
        <w:tc>
          <w:tcPr>
            <w:tcW w:w="2923" w:type="pct"/>
            <w:tcBorders>
              <w:top w:val="nil"/>
              <w:left w:val="single" w:sz="4" w:space="0" w:color="auto"/>
              <w:bottom w:val="nil"/>
              <w:right w:val="single" w:sz="4" w:space="0" w:color="auto"/>
            </w:tcBorders>
            <w:shd w:val="clear" w:color="auto" w:fill="auto"/>
            <w:noWrap/>
            <w:vAlign w:val="center"/>
            <w:hideMark/>
          </w:tcPr>
          <w:p w14:paraId="5A5416DF" w14:textId="77777777" w:rsidR="00BE5714" w:rsidRPr="001608C4" w:rsidRDefault="00BE5714" w:rsidP="00BE5714">
            <w:pPr>
              <w:widowControl/>
              <w:autoSpaceDE/>
              <w:autoSpaceDN/>
              <w:adjustRightInd/>
              <w:ind w:firstLineChars="500" w:firstLine="800"/>
              <w:rPr>
                <w:rFonts w:ascii="Times New Roman" w:hAnsi="Times New Roman" w:cs="Times New Roman"/>
                <w:sz w:val="16"/>
                <w:szCs w:val="16"/>
              </w:rPr>
            </w:pPr>
            <w:r w:rsidRPr="001608C4">
              <w:rPr>
                <w:rFonts w:ascii="Times New Roman" w:hAnsi="Times New Roman" w:cs="Times New Roman"/>
                <w:sz w:val="16"/>
                <w:szCs w:val="16"/>
              </w:rPr>
              <w:t>6. Otras deudas con las Administraciones Públicas</w:t>
            </w:r>
          </w:p>
        </w:tc>
        <w:tc>
          <w:tcPr>
            <w:tcW w:w="543" w:type="pct"/>
            <w:tcBorders>
              <w:top w:val="nil"/>
              <w:left w:val="nil"/>
              <w:bottom w:val="nil"/>
              <w:right w:val="single" w:sz="4" w:space="0" w:color="auto"/>
            </w:tcBorders>
            <w:shd w:val="clear" w:color="auto" w:fill="auto"/>
            <w:noWrap/>
            <w:vAlign w:val="center"/>
            <w:hideMark/>
          </w:tcPr>
          <w:p w14:paraId="66FE586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10</w:t>
            </w:r>
          </w:p>
        </w:tc>
        <w:tc>
          <w:tcPr>
            <w:tcW w:w="767" w:type="pct"/>
            <w:tcBorders>
              <w:top w:val="nil"/>
              <w:left w:val="nil"/>
              <w:bottom w:val="nil"/>
              <w:right w:val="single" w:sz="4" w:space="0" w:color="auto"/>
            </w:tcBorders>
            <w:shd w:val="clear" w:color="auto" w:fill="auto"/>
            <w:noWrap/>
            <w:vAlign w:val="center"/>
            <w:hideMark/>
          </w:tcPr>
          <w:p w14:paraId="4693519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189.202,28 </w:t>
            </w:r>
          </w:p>
        </w:tc>
        <w:tc>
          <w:tcPr>
            <w:tcW w:w="766" w:type="pct"/>
            <w:tcBorders>
              <w:top w:val="nil"/>
              <w:left w:val="nil"/>
              <w:bottom w:val="nil"/>
              <w:right w:val="single" w:sz="4" w:space="0" w:color="auto"/>
            </w:tcBorders>
            <w:shd w:val="clear" w:color="auto" w:fill="auto"/>
            <w:noWrap/>
            <w:vAlign w:val="center"/>
            <w:hideMark/>
          </w:tcPr>
          <w:p w14:paraId="1CAF1C8D"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xml:space="preserve"> 155.302,88 </w:t>
            </w:r>
          </w:p>
        </w:tc>
      </w:tr>
      <w:tr w:rsidR="00BE5714" w:rsidRPr="001608C4" w14:paraId="48A7454D" w14:textId="77777777" w:rsidTr="001608C4">
        <w:trPr>
          <w:trHeight w:val="100"/>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3000E2F2" w14:textId="77777777" w:rsidR="00BE5714" w:rsidRPr="001608C4" w:rsidRDefault="00BE5714" w:rsidP="00BE5714">
            <w:pPr>
              <w:widowControl/>
              <w:autoSpaceDE/>
              <w:autoSpaceDN/>
              <w:adjustRightInd/>
              <w:ind w:firstLineChars="200" w:firstLine="32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543" w:type="pct"/>
            <w:tcBorders>
              <w:top w:val="nil"/>
              <w:left w:val="nil"/>
              <w:bottom w:val="single" w:sz="4" w:space="0" w:color="auto"/>
              <w:right w:val="single" w:sz="4" w:space="0" w:color="auto"/>
            </w:tcBorders>
            <w:shd w:val="clear" w:color="auto" w:fill="auto"/>
            <w:noWrap/>
            <w:vAlign w:val="center"/>
            <w:hideMark/>
          </w:tcPr>
          <w:p w14:paraId="2D0F35E2"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767" w:type="pct"/>
            <w:tcBorders>
              <w:top w:val="nil"/>
              <w:left w:val="nil"/>
              <w:bottom w:val="nil"/>
              <w:right w:val="single" w:sz="4" w:space="0" w:color="auto"/>
            </w:tcBorders>
            <w:shd w:val="clear" w:color="auto" w:fill="auto"/>
            <w:noWrap/>
            <w:vAlign w:val="center"/>
            <w:hideMark/>
          </w:tcPr>
          <w:p w14:paraId="3B92DC05"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6" w:type="pct"/>
            <w:tcBorders>
              <w:top w:val="nil"/>
              <w:left w:val="nil"/>
              <w:bottom w:val="nil"/>
              <w:right w:val="single" w:sz="4" w:space="0" w:color="auto"/>
            </w:tcBorders>
            <w:shd w:val="clear" w:color="auto" w:fill="auto"/>
            <w:noWrap/>
            <w:vAlign w:val="center"/>
            <w:hideMark/>
          </w:tcPr>
          <w:p w14:paraId="0C0F7925"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7BAE3BDB" w14:textId="77777777" w:rsidTr="001608C4">
        <w:trPr>
          <w:trHeight w:val="393"/>
        </w:trPr>
        <w:tc>
          <w:tcPr>
            <w:tcW w:w="2923" w:type="pct"/>
            <w:tcBorders>
              <w:top w:val="nil"/>
              <w:left w:val="single" w:sz="4" w:space="0" w:color="auto"/>
              <w:bottom w:val="single" w:sz="4" w:space="0" w:color="auto"/>
              <w:right w:val="single" w:sz="4" w:space="0" w:color="auto"/>
            </w:tcBorders>
            <w:shd w:val="clear" w:color="auto" w:fill="auto"/>
            <w:noWrap/>
            <w:vAlign w:val="center"/>
            <w:hideMark/>
          </w:tcPr>
          <w:p w14:paraId="541A720A"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proofErr w:type="gramStart"/>
            <w:r w:rsidRPr="001608C4">
              <w:rPr>
                <w:rFonts w:ascii="Times New Roman" w:hAnsi="Times New Roman" w:cs="Times New Roman"/>
                <w:b/>
                <w:bCs/>
                <w:sz w:val="16"/>
                <w:szCs w:val="16"/>
              </w:rPr>
              <w:t>TOTAL</w:t>
            </w:r>
            <w:proofErr w:type="gramEnd"/>
            <w:r w:rsidRPr="001608C4">
              <w:rPr>
                <w:rFonts w:ascii="Times New Roman" w:hAnsi="Times New Roman" w:cs="Times New Roman"/>
                <w:b/>
                <w:bCs/>
                <w:sz w:val="16"/>
                <w:szCs w:val="16"/>
              </w:rPr>
              <w:t xml:space="preserve"> PATRIMONIO NETO Y PASIVO (A+B+C)</w:t>
            </w:r>
          </w:p>
        </w:tc>
        <w:tc>
          <w:tcPr>
            <w:tcW w:w="543" w:type="pct"/>
            <w:tcBorders>
              <w:top w:val="nil"/>
              <w:left w:val="nil"/>
              <w:bottom w:val="single" w:sz="4" w:space="0" w:color="auto"/>
              <w:right w:val="single" w:sz="4" w:space="0" w:color="auto"/>
            </w:tcBorders>
            <w:shd w:val="clear" w:color="auto" w:fill="auto"/>
            <w:noWrap/>
            <w:vAlign w:val="center"/>
            <w:hideMark/>
          </w:tcPr>
          <w:p w14:paraId="1595C60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2DDA863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20.630.770,88 </w:t>
            </w:r>
          </w:p>
        </w:tc>
        <w:tc>
          <w:tcPr>
            <w:tcW w:w="766" w:type="pct"/>
            <w:tcBorders>
              <w:top w:val="single" w:sz="4" w:space="0" w:color="auto"/>
              <w:left w:val="nil"/>
              <w:bottom w:val="single" w:sz="4" w:space="0" w:color="auto"/>
              <w:right w:val="single" w:sz="4" w:space="0" w:color="auto"/>
            </w:tcBorders>
            <w:shd w:val="clear" w:color="auto" w:fill="auto"/>
            <w:noWrap/>
            <w:vAlign w:val="center"/>
            <w:hideMark/>
          </w:tcPr>
          <w:p w14:paraId="335C6C2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 18.870.389,95 </w:t>
            </w:r>
          </w:p>
        </w:tc>
      </w:tr>
      <w:tr w:rsidR="00BE5714" w:rsidRPr="001608C4" w14:paraId="39DCA0DA" w14:textId="77777777" w:rsidTr="001608C4">
        <w:trPr>
          <w:trHeight w:val="246"/>
        </w:trPr>
        <w:tc>
          <w:tcPr>
            <w:tcW w:w="2923" w:type="pct"/>
            <w:tcBorders>
              <w:top w:val="nil"/>
              <w:left w:val="nil"/>
              <w:bottom w:val="nil"/>
              <w:right w:val="nil"/>
            </w:tcBorders>
            <w:shd w:val="clear" w:color="auto" w:fill="auto"/>
            <w:noWrap/>
            <w:vAlign w:val="center"/>
            <w:hideMark/>
          </w:tcPr>
          <w:p w14:paraId="663B2E0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543" w:type="pct"/>
            <w:tcBorders>
              <w:top w:val="nil"/>
              <w:left w:val="nil"/>
              <w:bottom w:val="nil"/>
              <w:right w:val="nil"/>
            </w:tcBorders>
            <w:shd w:val="clear" w:color="auto" w:fill="auto"/>
            <w:noWrap/>
            <w:vAlign w:val="center"/>
            <w:hideMark/>
          </w:tcPr>
          <w:p w14:paraId="0761AAEC"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p>
        </w:tc>
        <w:tc>
          <w:tcPr>
            <w:tcW w:w="767" w:type="pct"/>
            <w:tcBorders>
              <w:top w:val="nil"/>
              <w:left w:val="nil"/>
              <w:bottom w:val="nil"/>
              <w:right w:val="nil"/>
            </w:tcBorders>
            <w:shd w:val="clear" w:color="auto" w:fill="auto"/>
            <w:noWrap/>
            <w:vAlign w:val="center"/>
            <w:hideMark/>
          </w:tcPr>
          <w:p w14:paraId="48E6D42F"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766" w:type="pct"/>
            <w:tcBorders>
              <w:top w:val="nil"/>
              <w:left w:val="nil"/>
              <w:bottom w:val="nil"/>
              <w:right w:val="nil"/>
            </w:tcBorders>
            <w:shd w:val="clear" w:color="auto" w:fill="auto"/>
            <w:noWrap/>
            <w:vAlign w:val="center"/>
            <w:hideMark/>
          </w:tcPr>
          <w:p w14:paraId="5A66EE9B"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r w:rsidR="00BE5714" w:rsidRPr="001608C4" w14:paraId="20DBD2B5" w14:textId="77777777" w:rsidTr="001608C4">
        <w:trPr>
          <w:trHeight w:val="321"/>
        </w:trPr>
        <w:tc>
          <w:tcPr>
            <w:tcW w:w="2923" w:type="pct"/>
            <w:tcBorders>
              <w:top w:val="nil"/>
              <w:left w:val="nil"/>
              <w:bottom w:val="nil"/>
              <w:right w:val="nil"/>
            </w:tcBorders>
            <w:shd w:val="clear" w:color="auto" w:fill="auto"/>
            <w:noWrap/>
            <w:vAlign w:val="center"/>
            <w:hideMark/>
          </w:tcPr>
          <w:p w14:paraId="60139E4A" w14:textId="77777777" w:rsidR="00BE5714" w:rsidRPr="001608C4" w:rsidRDefault="00BE5714" w:rsidP="003416FB">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La nota adjunta forma parte integrante de las cuentas anuales.</w:t>
            </w:r>
          </w:p>
        </w:tc>
        <w:tc>
          <w:tcPr>
            <w:tcW w:w="543" w:type="pct"/>
            <w:tcBorders>
              <w:top w:val="nil"/>
              <w:left w:val="nil"/>
              <w:bottom w:val="nil"/>
              <w:right w:val="nil"/>
            </w:tcBorders>
            <w:shd w:val="clear" w:color="auto" w:fill="auto"/>
            <w:noWrap/>
            <w:vAlign w:val="center"/>
            <w:hideMark/>
          </w:tcPr>
          <w:p w14:paraId="6BAC6794"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p>
        </w:tc>
        <w:tc>
          <w:tcPr>
            <w:tcW w:w="767" w:type="pct"/>
            <w:tcBorders>
              <w:top w:val="nil"/>
              <w:left w:val="nil"/>
              <w:bottom w:val="nil"/>
              <w:right w:val="nil"/>
            </w:tcBorders>
            <w:shd w:val="clear" w:color="auto" w:fill="auto"/>
            <w:noWrap/>
            <w:vAlign w:val="center"/>
            <w:hideMark/>
          </w:tcPr>
          <w:p w14:paraId="500E8BC8"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766" w:type="pct"/>
            <w:tcBorders>
              <w:top w:val="nil"/>
              <w:left w:val="nil"/>
              <w:bottom w:val="nil"/>
              <w:right w:val="nil"/>
            </w:tcBorders>
            <w:shd w:val="clear" w:color="auto" w:fill="auto"/>
            <w:noWrap/>
            <w:vAlign w:val="center"/>
            <w:hideMark/>
          </w:tcPr>
          <w:p w14:paraId="59154A9A"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bl>
    <w:p w14:paraId="7CB02A4A"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E26D0E5"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6161"/>
        <w:gridCol w:w="543"/>
        <w:gridCol w:w="1604"/>
        <w:gridCol w:w="1604"/>
      </w:tblGrid>
      <w:tr w:rsidR="00BE5714" w:rsidRPr="001608C4" w14:paraId="69A79213" w14:textId="77777777" w:rsidTr="00BE5714">
        <w:trPr>
          <w:trHeight w:val="4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46DD6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PROMOCIÓN DE LA CIUDAD DE LAS PALMAS DE GRAN CANARIA, S.A.</w:t>
            </w:r>
          </w:p>
        </w:tc>
      </w:tr>
      <w:tr w:rsidR="00BE5714" w:rsidRPr="001608C4" w14:paraId="61FFE484" w14:textId="77777777" w:rsidTr="00BE5714">
        <w:trPr>
          <w:trHeight w:val="332"/>
        </w:trPr>
        <w:tc>
          <w:tcPr>
            <w:tcW w:w="5000" w:type="pct"/>
            <w:gridSpan w:val="4"/>
            <w:tcBorders>
              <w:top w:val="single" w:sz="4" w:space="0" w:color="auto"/>
              <w:left w:val="single" w:sz="4" w:space="0" w:color="auto"/>
              <w:bottom w:val="nil"/>
              <w:right w:val="single" w:sz="4" w:space="0" w:color="000000"/>
            </w:tcBorders>
            <w:shd w:val="clear" w:color="auto" w:fill="auto"/>
            <w:vAlign w:val="center"/>
            <w:hideMark/>
          </w:tcPr>
          <w:p w14:paraId="5C9BD9D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CUENTA DE PÉRDIDAS Y GANANCIAS ABREVIADA</w:t>
            </w:r>
          </w:p>
        </w:tc>
      </w:tr>
      <w:tr w:rsidR="00BE5714" w:rsidRPr="001608C4" w14:paraId="48EFE9FC" w14:textId="77777777" w:rsidTr="00BE5714">
        <w:trPr>
          <w:trHeight w:val="389"/>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14:paraId="30EE81A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CORRESPONDIENTE AL EJERCICIO TERMINADO EL 31 DE DICIEMBRE DE 2022</w:t>
            </w:r>
          </w:p>
        </w:tc>
      </w:tr>
      <w:tr w:rsidR="00BE5714" w:rsidRPr="001608C4" w14:paraId="2017117A" w14:textId="77777777" w:rsidTr="003416FB">
        <w:trPr>
          <w:trHeight w:val="254"/>
        </w:trPr>
        <w:tc>
          <w:tcPr>
            <w:tcW w:w="3108" w:type="pct"/>
            <w:tcBorders>
              <w:top w:val="nil"/>
              <w:left w:val="nil"/>
              <w:bottom w:val="nil"/>
              <w:right w:val="nil"/>
            </w:tcBorders>
            <w:shd w:val="clear" w:color="auto" w:fill="auto"/>
            <w:vAlign w:val="center"/>
            <w:hideMark/>
          </w:tcPr>
          <w:p w14:paraId="36F042F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274" w:type="pct"/>
            <w:tcBorders>
              <w:top w:val="nil"/>
              <w:left w:val="nil"/>
              <w:bottom w:val="nil"/>
              <w:right w:val="nil"/>
            </w:tcBorders>
            <w:shd w:val="clear" w:color="auto" w:fill="auto"/>
            <w:vAlign w:val="center"/>
            <w:hideMark/>
          </w:tcPr>
          <w:p w14:paraId="3A46A09A"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vAlign w:val="center"/>
            <w:hideMark/>
          </w:tcPr>
          <w:p w14:paraId="428C12BB"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vAlign w:val="center"/>
            <w:hideMark/>
          </w:tcPr>
          <w:p w14:paraId="12B76129"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r w:rsidR="00BE5714" w:rsidRPr="001608C4" w14:paraId="7738EAD1" w14:textId="77777777" w:rsidTr="003416FB">
        <w:trPr>
          <w:trHeight w:val="346"/>
        </w:trPr>
        <w:tc>
          <w:tcPr>
            <w:tcW w:w="3108" w:type="pct"/>
            <w:tcBorders>
              <w:top w:val="single" w:sz="4" w:space="0" w:color="auto"/>
              <w:left w:val="single" w:sz="4" w:space="0" w:color="auto"/>
              <w:bottom w:val="nil"/>
              <w:right w:val="single" w:sz="4" w:space="0" w:color="auto"/>
            </w:tcBorders>
            <w:shd w:val="clear" w:color="auto" w:fill="auto"/>
            <w:noWrap/>
            <w:vAlign w:val="center"/>
            <w:hideMark/>
          </w:tcPr>
          <w:p w14:paraId="300635E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274"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794EF525"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Nota</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651F93E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(Debe) Haber</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077A3B1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(Debe) Haber</w:t>
            </w:r>
          </w:p>
        </w:tc>
      </w:tr>
      <w:tr w:rsidR="00BE5714" w:rsidRPr="001608C4" w14:paraId="15AA77B0" w14:textId="77777777" w:rsidTr="003416FB">
        <w:trPr>
          <w:trHeight w:val="254"/>
        </w:trPr>
        <w:tc>
          <w:tcPr>
            <w:tcW w:w="3108" w:type="pct"/>
            <w:tcBorders>
              <w:top w:val="nil"/>
              <w:left w:val="single" w:sz="4" w:space="0" w:color="auto"/>
              <w:bottom w:val="single" w:sz="4" w:space="0" w:color="auto"/>
              <w:right w:val="single" w:sz="4" w:space="0" w:color="auto"/>
            </w:tcBorders>
            <w:shd w:val="clear" w:color="auto" w:fill="auto"/>
            <w:noWrap/>
            <w:vAlign w:val="center"/>
            <w:hideMark/>
          </w:tcPr>
          <w:p w14:paraId="5D95467D"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xml:space="preserve">     </w:t>
            </w:r>
            <w:proofErr w:type="gramStart"/>
            <w:r w:rsidRPr="001608C4">
              <w:rPr>
                <w:rFonts w:ascii="Times New Roman" w:hAnsi="Times New Roman" w:cs="Times New Roman"/>
                <w:b/>
                <w:bCs/>
                <w:sz w:val="16"/>
                <w:szCs w:val="16"/>
              </w:rPr>
              <w:t>OPERACIONES  CONTINUADAS</w:t>
            </w:r>
            <w:proofErr w:type="gramEnd"/>
          </w:p>
        </w:tc>
        <w:tc>
          <w:tcPr>
            <w:tcW w:w="274" w:type="pct"/>
            <w:vMerge/>
            <w:tcBorders>
              <w:top w:val="single" w:sz="4" w:space="0" w:color="auto"/>
              <w:left w:val="nil"/>
              <w:bottom w:val="single" w:sz="4" w:space="0" w:color="auto"/>
              <w:right w:val="single" w:sz="4" w:space="0" w:color="auto"/>
            </w:tcBorders>
            <w:vAlign w:val="center"/>
            <w:hideMark/>
          </w:tcPr>
          <w:p w14:paraId="42BE1F46" w14:textId="77777777" w:rsidR="00BE5714" w:rsidRPr="001608C4" w:rsidRDefault="00BE5714" w:rsidP="00BE5714">
            <w:pPr>
              <w:widowControl/>
              <w:autoSpaceDE/>
              <w:autoSpaceDN/>
              <w:adjustRightInd/>
              <w:rPr>
                <w:rFonts w:ascii="Times New Roman" w:hAnsi="Times New Roman" w:cs="Times New Roman"/>
                <w:b/>
                <w:bCs/>
                <w:sz w:val="16"/>
                <w:szCs w:val="16"/>
              </w:rPr>
            </w:pPr>
          </w:p>
        </w:tc>
        <w:tc>
          <w:tcPr>
            <w:tcW w:w="809" w:type="pct"/>
            <w:tcBorders>
              <w:top w:val="nil"/>
              <w:left w:val="nil"/>
              <w:bottom w:val="single" w:sz="4" w:space="0" w:color="auto"/>
              <w:right w:val="single" w:sz="4" w:space="0" w:color="auto"/>
            </w:tcBorders>
            <w:shd w:val="clear" w:color="auto" w:fill="auto"/>
            <w:noWrap/>
            <w:vAlign w:val="center"/>
            <w:hideMark/>
          </w:tcPr>
          <w:p w14:paraId="12C28F8F"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2022 </w:t>
            </w:r>
          </w:p>
        </w:tc>
        <w:tc>
          <w:tcPr>
            <w:tcW w:w="809" w:type="pct"/>
            <w:tcBorders>
              <w:top w:val="nil"/>
              <w:left w:val="nil"/>
              <w:bottom w:val="single" w:sz="4" w:space="0" w:color="auto"/>
              <w:right w:val="single" w:sz="4" w:space="0" w:color="auto"/>
            </w:tcBorders>
            <w:shd w:val="clear" w:color="auto" w:fill="auto"/>
            <w:noWrap/>
            <w:vAlign w:val="center"/>
            <w:hideMark/>
          </w:tcPr>
          <w:p w14:paraId="4D0A0D3B"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2021 </w:t>
            </w:r>
          </w:p>
        </w:tc>
      </w:tr>
      <w:tr w:rsidR="00BE5714" w:rsidRPr="001608C4" w14:paraId="334367EF" w14:textId="77777777" w:rsidTr="003416FB">
        <w:trPr>
          <w:trHeight w:val="136"/>
        </w:trPr>
        <w:tc>
          <w:tcPr>
            <w:tcW w:w="3108" w:type="pct"/>
            <w:tcBorders>
              <w:top w:val="nil"/>
              <w:left w:val="single" w:sz="4" w:space="0" w:color="auto"/>
              <w:bottom w:val="nil"/>
              <w:right w:val="single" w:sz="4" w:space="0" w:color="auto"/>
            </w:tcBorders>
            <w:shd w:val="clear" w:color="auto" w:fill="auto"/>
            <w:noWrap/>
            <w:vAlign w:val="center"/>
            <w:hideMark/>
          </w:tcPr>
          <w:p w14:paraId="47BE59F4"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6C8DB64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13961344"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7F6DD2F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1736FE8B"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3BF70EC5"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1. Importe neto de la cifra de negocios.</w:t>
            </w:r>
          </w:p>
        </w:tc>
        <w:tc>
          <w:tcPr>
            <w:tcW w:w="274" w:type="pct"/>
            <w:tcBorders>
              <w:top w:val="nil"/>
              <w:left w:val="nil"/>
              <w:bottom w:val="nil"/>
              <w:right w:val="single" w:sz="4" w:space="0" w:color="auto"/>
            </w:tcBorders>
            <w:shd w:val="clear" w:color="auto" w:fill="auto"/>
            <w:noWrap/>
            <w:vAlign w:val="center"/>
            <w:hideMark/>
          </w:tcPr>
          <w:p w14:paraId="0FFE785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305B0369"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495.569,96 </w:t>
            </w:r>
          </w:p>
        </w:tc>
        <w:tc>
          <w:tcPr>
            <w:tcW w:w="809" w:type="pct"/>
            <w:tcBorders>
              <w:top w:val="nil"/>
              <w:left w:val="nil"/>
              <w:bottom w:val="nil"/>
              <w:right w:val="single" w:sz="4" w:space="0" w:color="auto"/>
            </w:tcBorders>
            <w:shd w:val="clear" w:color="auto" w:fill="auto"/>
            <w:noWrap/>
            <w:vAlign w:val="center"/>
            <w:hideMark/>
          </w:tcPr>
          <w:p w14:paraId="2E9EA544"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652.199,83 </w:t>
            </w:r>
          </w:p>
        </w:tc>
      </w:tr>
      <w:tr w:rsidR="00BE5714" w:rsidRPr="001608C4" w14:paraId="4F715CF2"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33CFCFFF"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5. Otros ingresos de explotación.</w:t>
            </w:r>
          </w:p>
        </w:tc>
        <w:tc>
          <w:tcPr>
            <w:tcW w:w="274" w:type="pct"/>
            <w:tcBorders>
              <w:top w:val="nil"/>
              <w:left w:val="nil"/>
              <w:bottom w:val="nil"/>
              <w:right w:val="single" w:sz="4" w:space="0" w:color="auto"/>
            </w:tcBorders>
            <w:shd w:val="clear" w:color="auto" w:fill="auto"/>
            <w:noWrap/>
            <w:vAlign w:val="center"/>
            <w:hideMark/>
          </w:tcPr>
          <w:p w14:paraId="466B37A3"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1A42456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15.971.711,38 </w:t>
            </w:r>
          </w:p>
        </w:tc>
        <w:tc>
          <w:tcPr>
            <w:tcW w:w="809" w:type="pct"/>
            <w:tcBorders>
              <w:top w:val="nil"/>
              <w:left w:val="nil"/>
              <w:bottom w:val="nil"/>
              <w:right w:val="single" w:sz="4" w:space="0" w:color="auto"/>
            </w:tcBorders>
            <w:shd w:val="clear" w:color="auto" w:fill="auto"/>
            <w:noWrap/>
            <w:vAlign w:val="center"/>
            <w:hideMark/>
          </w:tcPr>
          <w:p w14:paraId="7B6E3EEF"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12.951.631,00 </w:t>
            </w:r>
          </w:p>
        </w:tc>
      </w:tr>
      <w:tr w:rsidR="00BE5714" w:rsidRPr="001608C4" w14:paraId="77C7DEB3"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B078F26"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6. Gastos de personal.</w:t>
            </w:r>
          </w:p>
        </w:tc>
        <w:tc>
          <w:tcPr>
            <w:tcW w:w="274" w:type="pct"/>
            <w:tcBorders>
              <w:top w:val="nil"/>
              <w:left w:val="nil"/>
              <w:bottom w:val="nil"/>
              <w:right w:val="single" w:sz="4" w:space="0" w:color="auto"/>
            </w:tcBorders>
            <w:shd w:val="clear" w:color="auto" w:fill="auto"/>
            <w:noWrap/>
            <w:vAlign w:val="center"/>
            <w:hideMark/>
          </w:tcPr>
          <w:p w14:paraId="7C0B7978"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11</w:t>
            </w:r>
          </w:p>
        </w:tc>
        <w:tc>
          <w:tcPr>
            <w:tcW w:w="809" w:type="pct"/>
            <w:tcBorders>
              <w:top w:val="nil"/>
              <w:left w:val="nil"/>
              <w:bottom w:val="nil"/>
              <w:right w:val="single" w:sz="4" w:space="0" w:color="auto"/>
            </w:tcBorders>
            <w:shd w:val="clear" w:color="auto" w:fill="auto"/>
            <w:noWrap/>
            <w:vAlign w:val="center"/>
            <w:hideMark/>
          </w:tcPr>
          <w:p w14:paraId="5F3FFA89"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(2.846.965,74)</w:t>
            </w:r>
          </w:p>
        </w:tc>
        <w:tc>
          <w:tcPr>
            <w:tcW w:w="809" w:type="pct"/>
            <w:tcBorders>
              <w:top w:val="nil"/>
              <w:left w:val="nil"/>
              <w:bottom w:val="nil"/>
              <w:right w:val="single" w:sz="4" w:space="0" w:color="auto"/>
            </w:tcBorders>
            <w:shd w:val="clear" w:color="auto" w:fill="auto"/>
            <w:noWrap/>
            <w:vAlign w:val="center"/>
            <w:hideMark/>
          </w:tcPr>
          <w:p w14:paraId="347B430B"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(2.849.315,25)</w:t>
            </w:r>
          </w:p>
        </w:tc>
      </w:tr>
      <w:tr w:rsidR="00BE5714" w:rsidRPr="001608C4" w14:paraId="13D4C281"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9B773D6"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7. Otros gastos de explotación.</w:t>
            </w:r>
          </w:p>
        </w:tc>
        <w:tc>
          <w:tcPr>
            <w:tcW w:w="274" w:type="pct"/>
            <w:tcBorders>
              <w:top w:val="nil"/>
              <w:left w:val="nil"/>
              <w:bottom w:val="nil"/>
              <w:right w:val="single" w:sz="4" w:space="0" w:color="auto"/>
            </w:tcBorders>
            <w:shd w:val="clear" w:color="auto" w:fill="auto"/>
            <w:noWrap/>
            <w:vAlign w:val="center"/>
            <w:hideMark/>
          </w:tcPr>
          <w:p w14:paraId="1DE3A77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419D62F1"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(15.235.382,55)</w:t>
            </w:r>
          </w:p>
        </w:tc>
        <w:tc>
          <w:tcPr>
            <w:tcW w:w="809" w:type="pct"/>
            <w:tcBorders>
              <w:top w:val="nil"/>
              <w:left w:val="nil"/>
              <w:bottom w:val="nil"/>
              <w:right w:val="single" w:sz="4" w:space="0" w:color="auto"/>
            </w:tcBorders>
            <w:shd w:val="clear" w:color="auto" w:fill="auto"/>
            <w:noWrap/>
            <w:vAlign w:val="center"/>
            <w:hideMark/>
          </w:tcPr>
          <w:p w14:paraId="4DE98D0B"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(10.914.028,96)</w:t>
            </w:r>
          </w:p>
        </w:tc>
      </w:tr>
      <w:tr w:rsidR="00BE5714" w:rsidRPr="001608C4" w14:paraId="6403F20D"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4368ABB"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8. Amortización del inmovilizado.</w:t>
            </w:r>
          </w:p>
        </w:tc>
        <w:tc>
          <w:tcPr>
            <w:tcW w:w="274" w:type="pct"/>
            <w:tcBorders>
              <w:top w:val="nil"/>
              <w:left w:val="nil"/>
              <w:bottom w:val="nil"/>
              <w:right w:val="single" w:sz="4" w:space="0" w:color="auto"/>
            </w:tcBorders>
            <w:shd w:val="clear" w:color="auto" w:fill="auto"/>
            <w:noWrap/>
            <w:vAlign w:val="center"/>
            <w:hideMark/>
          </w:tcPr>
          <w:p w14:paraId="1B7506C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6</w:t>
            </w:r>
          </w:p>
        </w:tc>
        <w:tc>
          <w:tcPr>
            <w:tcW w:w="809" w:type="pct"/>
            <w:tcBorders>
              <w:top w:val="nil"/>
              <w:left w:val="nil"/>
              <w:bottom w:val="nil"/>
              <w:right w:val="single" w:sz="4" w:space="0" w:color="auto"/>
            </w:tcBorders>
            <w:shd w:val="clear" w:color="auto" w:fill="auto"/>
            <w:noWrap/>
            <w:vAlign w:val="center"/>
            <w:hideMark/>
          </w:tcPr>
          <w:p w14:paraId="739271EF"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(144.122,89)</w:t>
            </w:r>
          </w:p>
        </w:tc>
        <w:tc>
          <w:tcPr>
            <w:tcW w:w="809" w:type="pct"/>
            <w:tcBorders>
              <w:top w:val="nil"/>
              <w:left w:val="nil"/>
              <w:bottom w:val="nil"/>
              <w:right w:val="single" w:sz="4" w:space="0" w:color="auto"/>
            </w:tcBorders>
            <w:shd w:val="clear" w:color="auto" w:fill="auto"/>
            <w:noWrap/>
            <w:vAlign w:val="center"/>
            <w:hideMark/>
          </w:tcPr>
          <w:p w14:paraId="5429D602"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(146.336,77)</w:t>
            </w:r>
          </w:p>
        </w:tc>
      </w:tr>
      <w:tr w:rsidR="00BE5714" w:rsidRPr="001608C4" w14:paraId="64461666"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0669C913"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9. Imputación de subvenciones de inmovilizado no financiero y otras.</w:t>
            </w:r>
          </w:p>
        </w:tc>
        <w:tc>
          <w:tcPr>
            <w:tcW w:w="274" w:type="pct"/>
            <w:tcBorders>
              <w:top w:val="nil"/>
              <w:left w:val="nil"/>
              <w:bottom w:val="nil"/>
              <w:right w:val="single" w:sz="4" w:space="0" w:color="auto"/>
            </w:tcBorders>
            <w:shd w:val="clear" w:color="auto" w:fill="auto"/>
            <w:noWrap/>
            <w:vAlign w:val="center"/>
            <w:hideMark/>
          </w:tcPr>
          <w:p w14:paraId="2353840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12</w:t>
            </w:r>
          </w:p>
        </w:tc>
        <w:tc>
          <w:tcPr>
            <w:tcW w:w="809" w:type="pct"/>
            <w:tcBorders>
              <w:top w:val="nil"/>
              <w:left w:val="nil"/>
              <w:bottom w:val="nil"/>
              <w:right w:val="single" w:sz="4" w:space="0" w:color="auto"/>
            </w:tcBorders>
            <w:shd w:val="clear" w:color="auto" w:fill="auto"/>
            <w:noWrap/>
            <w:vAlign w:val="center"/>
            <w:hideMark/>
          </w:tcPr>
          <w:p w14:paraId="55FD5EE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115.189,03 </w:t>
            </w:r>
          </w:p>
        </w:tc>
        <w:tc>
          <w:tcPr>
            <w:tcW w:w="809" w:type="pct"/>
            <w:tcBorders>
              <w:top w:val="nil"/>
              <w:left w:val="nil"/>
              <w:bottom w:val="nil"/>
              <w:right w:val="single" w:sz="4" w:space="0" w:color="auto"/>
            </w:tcBorders>
            <w:shd w:val="clear" w:color="auto" w:fill="auto"/>
            <w:noWrap/>
            <w:vAlign w:val="center"/>
            <w:hideMark/>
          </w:tcPr>
          <w:p w14:paraId="742FAE7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115.189,03 </w:t>
            </w:r>
          </w:p>
        </w:tc>
      </w:tr>
      <w:tr w:rsidR="00BE5714" w:rsidRPr="001608C4" w14:paraId="6B32C4EF"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FD6465B"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13. Otros resultados</w:t>
            </w:r>
          </w:p>
        </w:tc>
        <w:tc>
          <w:tcPr>
            <w:tcW w:w="274" w:type="pct"/>
            <w:tcBorders>
              <w:top w:val="nil"/>
              <w:left w:val="nil"/>
              <w:bottom w:val="nil"/>
              <w:right w:val="single" w:sz="4" w:space="0" w:color="auto"/>
            </w:tcBorders>
            <w:shd w:val="clear" w:color="auto" w:fill="auto"/>
            <w:noWrap/>
            <w:vAlign w:val="center"/>
            <w:hideMark/>
          </w:tcPr>
          <w:p w14:paraId="0A560234"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09F4329"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29.618,26 </w:t>
            </w:r>
          </w:p>
        </w:tc>
        <w:tc>
          <w:tcPr>
            <w:tcW w:w="809" w:type="pct"/>
            <w:tcBorders>
              <w:top w:val="nil"/>
              <w:left w:val="nil"/>
              <w:bottom w:val="nil"/>
              <w:right w:val="single" w:sz="4" w:space="0" w:color="auto"/>
            </w:tcBorders>
            <w:shd w:val="clear" w:color="auto" w:fill="auto"/>
            <w:noWrap/>
            <w:vAlign w:val="center"/>
            <w:hideMark/>
          </w:tcPr>
          <w:p w14:paraId="18E02D33"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(15.100,24)</w:t>
            </w:r>
          </w:p>
        </w:tc>
      </w:tr>
      <w:tr w:rsidR="00BE5714" w:rsidRPr="001608C4" w14:paraId="1F36140C" w14:textId="77777777" w:rsidTr="003416FB">
        <w:trPr>
          <w:trHeight w:val="254"/>
        </w:trPr>
        <w:tc>
          <w:tcPr>
            <w:tcW w:w="3108" w:type="pct"/>
            <w:tcBorders>
              <w:top w:val="nil"/>
              <w:left w:val="single" w:sz="4" w:space="0" w:color="auto"/>
              <w:bottom w:val="nil"/>
              <w:right w:val="single" w:sz="4" w:space="0" w:color="auto"/>
            </w:tcBorders>
            <w:shd w:val="clear" w:color="auto" w:fill="auto"/>
            <w:noWrap/>
            <w:vAlign w:val="center"/>
            <w:hideMark/>
          </w:tcPr>
          <w:p w14:paraId="15B9E2A3"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17384A94"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6591CE8E"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5ADFFAB"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59F40688"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CA6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xml:space="preserve">A) RESULTADO DE EXPLOTACIÓN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181AF0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1724B46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(1.614.382,55)</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762A9070"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(205.761,36)</w:t>
            </w:r>
          </w:p>
        </w:tc>
      </w:tr>
      <w:tr w:rsidR="00BE5714" w:rsidRPr="001608C4" w14:paraId="7C6C8F09" w14:textId="77777777" w:rsidTr="003416FB">
        <w:trPr>
          <w:trHeight w:val="121"/>
        </w:trPr>
        <w:tc>
          <w:tcPr>
            <w:tcW w:w="3108" w:type="pct"/>
            <w:tcBorders>
              <w:top w:val="nil"/>
              <w:left w:val="single" w:sz="4" w:space="0" w:color="auto"/>
              <w:bottom w:val="nil"/>
              <w:right w:val="single" w:sz="4" w:space="0" w:color="auto"/>
            </w:tcBorders>
            <w:shd w:val="clear" w:color="auto" w:fill="auto"/>
            <w:noWrap/>
            <w:vAlign w:val="center"/>
            <w:hideMark/>
          </w:tcPr>
          <w:p w14:paraId="01AB7457"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274" w:type="pct"/>
            <w:tcBorders>
              <w:top w:val="nil"/>
              <w:left w:val="nil"/>
              <w:bottom w:val="nil"/>
              <w:right w:val="single" w:sz="4" w:space="0" w:color="auto"/>
            </w:tcBorders>
            <w:shd w:val="clear" w:color="auto" w:fill="auto"/>
            <w:noWrap/>
            <w:vAlign w:val="center"/>
            <w:hideMark/>
          </w:tcPr>
          <w:p w14:paraId="299AD46C"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33D3EA2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nil"/>
              <w:right w:val="single" w:sz="4" w:space="0" w:color="auto"/>
            </w:tcBorders>
            <w:shd w:val="clear" w:color="auto" w:fill="auto"/>
            <w:noWrap/>
            <w:vAlign w:val="center"/>
            <w:hideMark/>
          </w:tcPr>
          <w:p w14:paraId="63CAF6D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07CA8050"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6BB852EA"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14. Ingresos financieros.</w:t>
            </w:r>
          </w:p>
        </w:tc>
        <w:tc>
          <w:tcPr>
            <w:tcW w:w="274" w:type="pct"/>
            <w:tcBorders>
              <w:top w:val="nil"/>
              <w:left w:val="nil"/>
              <w:bottom w:val="nil"/>
              <w:right w:val="single" w:sz="4" w:space="0" w:color="auto"/>
            </w:tcBorders>
            <w:shd w:val="clear" w:color="auto" w:fill="auto"/>
            <w:noWrap/>
            <w:vAlign w:val="center"/>
            <w:hideMark/>
          </w:tcPr>
          <w:p w14:paraId="1951C496"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809" w:type="pct"/>
            <w:tcBorders>
              <w:top w:val="nil"/>
              <w:left w:val="nil"/>
              <w:bottom w:val="nil"/>
              <w:right w:val="single" w:sz="4" w:space="0" w:color="auto"/>
            </w:tcBorders>
            <w:shd w:val="clear" w:color="auto" w:fill="auto"/>
            <w:noWrap/>
            <w:vAlign w:val="center"/>
            <w:hideMark/>
          </w:tcPr>
          <w:p w14:paraId="70EF5F6B"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2.766,39 </w:t>
            </w:r>
          </w:p>
        </w:tc>
        <w:tc>
          <w:tcPr>
            <w:tcW w:w="809" w:type="pct"/>
            <w:tcBorders>
              <w:top w:val="nil"/>
              <w:left w:val="nil"/>
              <w:bottom w:val="nil"/>
              <w:right w:val="single" w:sz="4" w:space="0" w:color="auto"/>
            </w:tcBorders>
            <w:shd w:val="clear" w:color="auto" w:fill="auto"/>
            <w:noWrap/>
            <w:vAlign w:val="center"/>
            <w:hideMark/>
          </w:tcPr>
          <w:p w14:paraId="2A2C7D2A"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244.462,11 </w:t>
            </w:r>
          </w:p>
        </w:tc>
      </w:tr>
      <w:tr w:rsidR="00BE5714" w:rsidRPr="001608C4" w14:paraId="27003142"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7EA93E8C" w14:textId="77777777" w:rsidR="00BE5714" w:rsidRPr="001608C4" w:rsidRDefault="00BE5714" w:rsidP="00BE5714">
            <w:pPr>
              <w:widowControl/>
              <w:autoSpaceDE/>
              <w:autoSpaceDN/>
              <w:adjustRightInd/>
              <w:ind w:firstLineChars="400" w:firstLine="640"/>
              <w:rPr>
                <w:rFonts w:ascii="Times New Roman" w:hAnsi="Times New Roman" w:cs="Times New Roman"/>
                <w:sz w:val="16"/>
                <w:szCs w:val="16"/>
              </w:rPr>
            </w:pPr>
            <w:r w:rsidRPr="001608C4">
              <w:rPr>
                <w:rFonts w:ascii="Times New Roman" w:hAnsi="Times New Roman" w:cs="Times New Roman"/>
                <w:sz w:val="16"/>
                <w:szCs w:val="16"/>
              </w:rPr>
              <w:t xml:space="preserve">       b) Otros ingresos financieros</w:t>
            </w:r>
          </w:p>
        </w:tc>
        <w:tc>
          <w:tcPr>
            <w:tcW w:w="274" w:type="pct"/>
            <w:tcBorders>
              <w:top w:val="nil"/>
              <w:left w:val="nil"/>
              <w:bottom w:val="nil"/>
              <w:right w:val="single" w:sz="4" w:space="0" w:color="auto"/>
            </w:tcBorders>
            <w:shd w:val="clear" w:color="auto" w:fill="auto"/>
            <w:noWrap/>
            <w:vAlign w:val="center"/>
            <w:hideMark/>
          </w:tcPr>
          <w:p w14:paraId="3DD1779F"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27E6E4DB" w14:textId="77777777" w:rsidR="00BE5714" w:rsidRPr="001608C4" w:rsidRDefault="00BE5714" w:rsidP="00BE5714">
            <w:pPr>
              <w:widowControl/>
              <w:autoSpaceDE/>
              <w:autoSpaceDN/>
              <w:adjustRightInd/>
              <w:jc w:val="center"/>
              <w:rPr>
                <w:rFonts w:ascii="Cambria" w:hAnsi="Cambria"/>
                <w:sz w:val="16"/>
                <w:szCs w:val="16"/>
              </w:rPr>
            </w:pPr>
            <w:r w:rsidRPr="001608C4">
              <w:rPr>
                <w:rFonts w:ascii="Cambria" w:hAnsi="Cambria"/>
                <w:sz w:val="16"/>
                <w:szCs w:val="16"/>
              </w:rPr>
              <w:t xml:space="preserve"> 2.766,39 </w:t>
            </w:r>
          </w:p>
        </w:tc>
        <w:tc>
          <w:tcPr>
            <w:tcW w:w="809" w:type="pct"/>
            <w:tcBorders>
              <w:top w:val="nil"/>
              <w:left w:val="nil"/>
              <w:bottom w:val="nil"/>
              <w:right w:val="single" w:sz="4" w:space="0" w:color="auto"/>
            </w:tcBorders>
            <w:shd w:val="clear" w:color="auto" w:fill="auto"/>
            <w:noWrap/>
            <w:vAlign w:val="center"/>
            <w:hideMark/>
          </w:tcPr>
          <w:p w14:paraId="5FE67415" w14:textId="77777777" w:rsidR="00BE5714" w:rsidRPr="001608C4" w:rsidRDefault="00BE5714" w:rsidP="00BE5714">
            <w:pPr>
              <w:widowControl/>
              <w:autoSpaceDE/>
              <w:autoSpaceDN/>
              <w:adjustRightInd/>
              <w:jc w:val="center"/>
              <w:rPr>
                <w:rFonts w:ascii="Cambria" w:hAnsi="Cambria"/>
                <w:sz w:val="16"/>
                <w:szCs w:val="16"/>
              </w:rPr>
            </w:pPr>
            <w:r w:rsidRPr="001608C4">
              <w:rPr>
                <w:rFonts w:ascii="Cambria" w:hAnsi="Cambria"/>
                <w:sz w:val="16"/>
                <w:szCs w:val="16"/>
              </w:rPr>
              <w:t xml:space="preserve"> 244.462,11 </w:t>
            </w:r>
          </w:p>
        </w:tc>
      </w:tr>
      <w:tr w:rsidR="00BE5714" w:rsidRPr="001608C4" w14:paraId="2F9901F6" w14:textId="77777777" w:rsidTr="003416FB">
        <w:trPr>
          <w:trHeight w:val="360"/>
        </w:trPr>
        <w:tc>
          <w:tcPr>
            <w:tcW w:w="3108" w:type="pct"/>
            <w:tcBorders>
              <w:top w:val="nil"/>
              <w:left w:val="single" w:sz="4" w:space="0" w:color="auto"/>
              <w:bottom w:val="nil"/>
              <w:right w:val="single" w:sz="4" w:space="0" w:color="auto"/>
            </w:tcBorders>
            <w:shd w:val="clear" w:color="auto" w:fill="auto"/>
            <w:noWrap/>
            <w:vAlign w:val="center"/>
            <w:hideMark/>
          </w:tcPr>
          <w:p w14:paraId="4D6E6C78" w14:textId="77777777" w:rsidR="00BE5714" w:rsidRPr="001608C4" w:rsidRDefault="00BE5714" w:rsidP="00BE5714">
            <w:pPr>
              <w:widowControl/>
              <w:autoSpaceDE/>
              <w:autoSpaceDN/>
              <w:adjustRightInd/>
              <w:ind w:firstLineChars="400" w:firstLine="643"/>
              <w:rPr>
                <w:rFonts w:ascii="Times New Roman" w:hAnsi="Times New Roman" w:cs="Times New Roman"/>
                <w:b/>
                <w:bCs/>
                <w:sz w:val="16"/>
                <w:szCs w:val="16"/>
              </w:rPr>
            </w:pPr>
            <w:r w:rsidRPr="001608C4">
              <w:rPr>
                <w:rFonts w:ascii="Times New Roman" w:hAnsi="Times New Roman" w:cs="Times New Roman"/>
                <w:b/>
                <w:bCs/>
                <w:sz w:val="16"/>
                <w:szCs w:val="16"/>
              </w:rPr>
              <w:t>15. Gastos financieros.</w:t>
            </w:r>
          </w:p>
        </w:tc>
        <w:tc>
          <w:tcPr>
            <w:tcW w:w="274" w:type="pct"/>
            <w:tcBorders>
              <w:top w:val="nil"/>
              <w:left w:val="nil"/>
              <w:bottom w:val="nil"/>
              <w:right w:val="single" w:sz="4" w:space="0" w:color="auto"/>
            </w:tcBorders>
            <w:shd w:val="clear" w:color="auto" w:fill="auto"/>
            <w:noWrap/>
            <w:vAlign w:val="center"/>
            <w:hideMark/>
          </w:tcPr>
          <w:p w14:paraId="204419FA"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8</w:t>
            </w:r>
          </w:p>
        </w:tc>
        <w:tc>
          <w:tcPr>
            <w:tcW w:w="809" w:type="pct"/>
            <w:tcBorders>
              <w:top w:val="nil"/>
              <w:left w:val="nil"/>
              <w:bottom w:val="nil"/>
              <w:right w:val="single" w:sz="4" w:space="0" w:color="auto"/>
            </w:tcBorders>
            <w:shd w:val="clear" w:color="auto" w:fill="auto"/>
            <w:noWrap/>
            <w:vAlign w:val="center"/>
            <w:hideMark/>
          </w:tcPr>
          <w:p w14:paraId="6FA55240"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(482,76)</w:t>
            </w:r>
          </w:p>
        </w:tc>
        <w:tc>
          <w:tcPr>
            <w:tcW w:w="809" w:type="pct"/>
            <w:tcBorders>
              <w:top w:val="nil"/>
              <w:left w:val="nil"/>
              <w:bottom w:val="nil"/>
              <w:right w:val="single" w:sz="4" w:space="0" w:color="auto"/>
            </w:tcBorders>
            <w:shd w:val="clear" w:color="auto" w:fill="auto"/>
            <w:noWrap/>
            <w:vAlign w:val="center"/>
            <w:hideMark/>
          </w:tcPr>
          <w:p w14:paraId="34515790"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(6.136,56)</w:t>
            </w:r>
          </w:p>
        </w:tc>
      </w:tr>
      <w:tr w:rsidR="00BE5714" w:rsidRPr="001608C4" w14:paraId="49EAFB2B" w14:textId="77777777" w:rsidTr="003416FB">
        <w:trPr>
          <w:trHeight w:val="104"/>
        </w:trPr>
        <w:tc>
          <w:tcPr>
            <w:tcW w:w="3108" w:type="pct"/>
            <w:tcBorders>
              <w:top w:val="nil"/>
              <w:left w:val="single" w:sz="4" w:space="0" w:color="auto"/>
              <w:bottom w:val="nil"/>
              <w:right w:val="single" w:sz="4" w:space="0" w:color="auto"/>
            </w:tcBorders>
            <w:shd w:val="clear" w:color="auto" w:fill="auto"/>
            <w:noWrap/>
            <w:vAlign w:val="center"/>
            <w:hideMark/>
          </w:tcPr>
          <w:p w14:paraId="1BECFB42" w14:textId="77777777" w:rsidR="00BE5714" w:rsidRPr="001608C4" w:rsidRDefault="00BE5714" w:rsidP="00BE5714">
            <w:pPr>
              <w:widowControl/>
              <w:autoSpaceDE/>
              <w:autoSpaceDN/>
              <w:adjustRightInd/>
              <w:ind w:firstLineChars="700" w:firstLine="1120"/>
              <w:rPr>
                <w:rFonts w:ascii="Times New Roman" w:hAnsi="Times New Roman" w:cs="Times New Roman"/>
                <w:sz w:val="16"/>
                <w:szCs w:val="16"/>
              </w:rPr>
            </w:pPr>
            <w:r w:rsidRPr="001608C4">
              <w:rPr>
                <w:rFonts w:ascii="Times New Roman" w:hAnsi="Times New Roman" w:cs="Times New Roman"/>
                <w:sz w:val="16"/>
                <w:szCs w:val="16"/>
              </w:rPr>
              <w:t> </w:t>
            </w:r>
          </w:p>
        </w:tc>
        <w:tc>
          <w:tcPr>
            <w:tcW w:w="274" w:type="pct"/>
            <w:tcBorders>
              <w:top w:val="nil"/>
              <w:left w:val="nil"/>
              <w:bottom w:val="nil"/>
              <w:right w:val="single" w:sz="4" w:space="0" w:color="auto"/>
            </w:tcBorders>
            <w:shd w:val="clear" w:color="auto" w:fill="auto"/>
            <w:noWrap/>
            <w:vAlign w:val="center"/>
            <w:hideMark/>
          </w:tcPr>
          <w:p w14:paraId="6D6FD1FD"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75D7CDE5"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c>
          <w:tcPr>
            <w:tcW w:w="809" w:type="pct"/>
            <w:tcBorders>
              <w:top w:val="nil"/>
              <w:left w:val="nil"/>
              <w:bottom w:val="nil"/>
              <w:right w:val="single" w:sz="4" w:space="0" w:color="auto"/>
            </w:tcBorders>
            <w:shd w:val="clear" w:color="auto" w:fill="auto"/>
            <w:noWrap/>
            <w:vAlign w:val="center"/>
            <w:hideMark/>
          </w:tcPr>
          <w:p w14:paraId="7302B51C"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1205CA86"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6E2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xml:space="preserve">B) RESULTADO FINANCIERO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163967C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334DFB74"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2.283,63 </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14:paraId="51B46EA6"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238.325,55 </w:t>
            </w:r>
          </w:p>
        </w:tc>
      </w:tr>
      <w:tr w:rsidR="00BE5714" w:rsidRPr="001608C4" w14:paraId="68328A7E" w14:textId="77777777" w:rsidTr="003416FB">
        <w:trPr>
          <w:trHeight w:val="398"/>
        </w:trPr>
        <w:tc>
          <w:tcPr>
            <w:tcW w:w="3108" w:type="pct"/>
            <w:tcBorders>
              <w:top w:val="nil"/>
              <w:left w:val="single" w:sz="4" w:space="0" w:color="auto"/>
              <w:bottom w:val="single" w:sz="4" w:space="0" w:color="auto"/>
              <w:right w:val="single" w:sz="4" w:space="0" w:color="auto"/>
            </w:tcBorders>
            <w:shd w:val="clear" w:color="auto" w:fill="auto"/>
            <w:noWrap/>
            <w:vAlign w:val="center"/>
            <w:hideMark/>
          </w:tcPr>
          <w:p w14:paraId="03371F98"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xml:space="preserve">C) RESULTADO ANTES DE IMPUESTOS </w:t>
            </w:r>
          </w:p>
        </w:tc>
        <w:tc>
          <w:tcPr>
            <w:tcW w:w="274" w:type="pct"/>
            <w:tcBorders>
              <w:top w:val="nil"/>
              <w:left w:val="nil"/>
              <w:bottom w:val="single" w:sz="4" w:space="0" w:color="auto"/>
              <w:right w:val="single" w:sz="4" w:space="0" w:color="auto"/>
            </w:tcBorders>
            <w:shd w:val="clear" w:color="auto" w:fill="auto"/>
            <w:noWrap/>
            <w:vAlign w:val="center"/>
            <w:hideMark/>
          </w:tcPr>
          <w:p w14:paraId="74C3C46F"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single" w:sz="4" w:space="0" w:color="auto"/>
              <w:right w:val="single" w:sz="4" w:space="0" w:color="auto"/>
            </w:tcBorders>
            <w:shd w:val="clear" w:color="auto" w:fill="auto"/>
            <w:noWrap/>
            <w:vAlign w:val="center"/>
            <w:hideMark/>
          </w:tcPr>
          <w:p w14:paraId="1553DBB4"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(1.612.098,92)</w:t>
            </w:r>
          </w:p>
        </w:tc>
        <w:tc>
          <w:tcPr>
            <w:tcW w:w="809" w:type="pct"/>
            <w:tcBorders>
              <w:top w:val="nil"/>
              <w:left w:val="nil"/>
              <w:bottom w:val="single" w:sz="4" w:space="0" w:color="auto"/>
              <w:right w:val="single" w:sz="4" w:space="0" w:color="auto"/>
            </w:tcBorders>
            <w:shd w:val="clear" w:color="auto" w:fill="auto"/>
            <w:noWrap/>
            <w:vAlign w:val="center"/>
            <w:hideMark/>
          </w:tcPr>
          <w:p w14:paraId="4D2038D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32.564,19 </w:t>
            </w:r>
          </w:p>
        </w:tc>
      </w:tr>
      <w:tr w:rsidR="00BE5714" w:rsidRPr="001608C4" w14:paraId="2BB53AC0" w14:textId="77777777" w:rsidTr="003416FB">
        <w:trPr>
          <w:trHeight w:val="406"/>
        </w:trPr>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7E88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xml:space="preserve">D) RESULTADO DEL EJERCICIO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42A14ED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809" w:type="pct"/>
            <w:tcBorders>
              <w:top w:val="nil"/>
              <w:left w:val="nil"/>
              <w:bottom w:val="single" w:sz="4" w:space="0" w:color="auto"/>
              <w:right w:val="single" w:sz="4" w:space="0" w:color="auto"/>
            </w:tcBorders>
            <w:shd w:val="clear" w:color="auto" w:fill="auto"/>
            <w:noWrap/>
            <w:vAlign w:val="center"/>
            <w:hideMark/>
          </w:tcPr>
          <w:p w14:paraId="4159DA2E"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(1.612.098,92)</w:t>
            </w:r>
          </w:p>
        </w:tc>
        <w:tc>
          <w:tcPr>
            <w:tcW w:w="809" w:type="pct"/>
            <w:tcBorders>
              <w:top w:val="nil"/>
              <w:left w:val="nil"/>
              <w:bottom w:val="single" w:sz="4" w:space="0" w:color="auto"/>
              <w:right w:val="single" w:sz="4" w:space="0" w:color="auto"/>
            </w:tcBorders>
            <w:shd w:val="clear" w:color="auto" w:fill="auto"/>
            <w:noWrap/>
            <w:vAlign w:val="center"/>
            <w:hideMark/>
          </w:tcPr>
          <w:p w14:paraId="2F13F546" w14:textId="77777777" w:rsidR="00BE5714" w:rsidRPr="001608C4" w:rsidRDefault="00BE5714" w:rsidP="00BE5714">
            <w:pPr>
              <w:widowControl/>
              <w:autoSpaceDE/>
              <w:autoSpaceDN/>
              <w:adjustRightInd/>
              <w:jc w:val="center"/>
              <w:rPr>
                <w:rFonts w:ascii="Cambria" w:hAnsi="Cambria"/>
                <w:b/>
                <w:bCs/>
                <w:sz w:val="16"/>
                <w:szCs w:val="16"/>
              </w:rPr>
            </w:pPr>
            <w:r w:rsidRPr="001608C4">
              <w:rPr>
                <w:rFonts w:ascii="Cambria" w:hAnsi="Cambria"/>
                <w:b/>
                <w:bCs/>
                <w:sz w:val="16"/>
                <w:szCs w:val="16"/>
              </w:rPr>
              <w:t xml:space="preserve"> 32.564,19 </w:t>
            </w:r>
          </w:p>
        </w:tc>
      </w:tr>
      <w:tr w:rsidR="00BE5714" w:rsidRPr="001608C4" w14:paraId="17945FC0" w14:textId="77777777" w:rsidTr="003416FB">
        <w:trPr>
          <w:trHeight w:val="254"/>
        </w:trPr>
        <w:tc>
          <w:tcPr>
            <w:tcW w:w="3108" w:type="pct"/>
            <w:tcBorders>
              <w:top w:val="nil"/>
              <w:left w:val="nil"/>
              <w:bottom w:val="nil"/>
              <w:right w:val="nil"/>
            </w:tcBorders>
            <w:shd w:val="clear" w:color="auto" w:fill="auto"/>
            <w:noWrap/>
            <w:vAlign w:val="center"/>
            <w:hideMark/>
          </w:tcPr>
          <w:p w14:paraId="629B93B1" w14:textId="77777777" w:rsidR="00BE5714" w:rsidRPr="001608C4" w:rsidRDefault="00BE5714" w:rsidP="00BE5714">
            <w:pPr>
              <w:widowControl/>
              <w:autoSpaceDE/>
              <w:autoSpaceDN/>
              <w:adjustRightInd/>
              <w:jc w:val="center"/>
              <w:rPr>
                <w:rFonts w:ascii="Cambria" w:hAnsi="Cambria"/>
                <w:b/>
                <w:bCs/>
                <w:sz w:val="16"/>
                <w:szCs w:val="16"/>
              </w:rPr>
            </w:pPr>
          </w:p>
        </w:tc>
        <w:tc>
          <w:tcPr>
            <w:tcW w:w="274" w:type="pct"/>
            <w:tcBorders>
              <w:top w:val="nil"/>
              <w:left w:val="nil"/>
              <w:bottom w:val="nil"/>
              <w:right w:val="nil"/>
            </w:tcBorders>
            <w:shd w:val="clear" w:color="auto" w:fill="auto"/>
            <w:noWrap/>
            <w:vAlign w:val="center"/>
            <w:hideMark/>
          </w:tcPr>
          <w:p w14:paraId="057DD322"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47196D0F"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3579AAA6"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r w:rsidR="00BE5714" w:rsidRPr="001608C4" w14:paraId="53BF01B7" w14:textId="77777777" w:rsidTr="003416FB">
        <w:trPr>
          <w:trHeight w:val="254"/>
        </w:trPr>
        <w:tc>
          <w:tcPr>
            <w:tcW w:w="3108" w:type="pct"/>
            <w:tcBorders>
              <w:top w:val="nil"/>
              <w:left w:val="nil"/>
              <w:bottom w:val="nil"/>
              <w:right w:val="nil"/>
            </w:tcBorders>
            <w:shd w:val="clear" w:color="auto" w:fill="auto"/>
            <w:noWrap/>
            <w:vAlign w:val="center"/>
            <w:hideMark/>
          </w:tcPr>
          <w:p w14:paraId="3229FA21"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r w:rsidRPr="001608C4">
              <w:rPr>
                <w:rFonts w:ascii="Times New Roman" w:hAnsi="Times New Roman" w:cs="Times New Roman"/>
                <w:sz w:val="16"/>
                <w:szCs w:val="16"/>
              </w:rPr>
              <w:t>La nota adjunta forma parte integrante de las cuentas anuales.</w:t>
            </w:r>
          </w:p>
        </w:tc>
        <w:tc>
          <w:tcPr>
            <w:tcW w:w="274" w:type="pct"/>
            <w:tcBorders>
              <w:top w:val="nil"/>
              <w:left w:val="nil"/>
              <w:bottom w:val="nil"/>
              <w:right w:val="nil"/>
            </w:tcBorders>
            <w:shd w:val="clear" w:color="auto" w:fill="auto"/>
            <w:noWrap/>
            <w:vAlign w:val="center"/>
            <w:hideMark/>
          </w:tcPr>
          <w:p w14:paraId="0F6D925E" w14:textId="77777777" w:rsidR="00BE5714" w:rsidRPr="001608C4" w:rsidRDefault="00BE5714" w:rsidP="00BE5714">
            <w:pPr>
              <w:widowControl/>
              <w:autoSpaceDE/>
              <w:autoSpaceDN/>
              <w:adjustRightInd/>
              <w:ind w:firstLineChars="100" w:firstLine="160"/>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7994D379"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14:paraId="5D81B30E" w14:textId="77777777" w:rsidR="00BE5714" w:rsidRPr="001608C4" w:rsidRDefault="00BE5714" w:rsidP="00BE5714">
            <w:pPr>
              <w:widowControl/>
              <w:autoSpaceDE/>
              <w:autoSpaceDN/>
              <w:adjustRightInd/>
              <w:jc w:val="center"/>
              <w:rPr>
                <w:rFonts w:ascii="Times New Roman" w:hAnsi="Times New Roman" w:cs="Times New Roman"/>
                <w:sz w:val="16"/>
                <w:szCs w:val="16"/>
              </w:rPr>
            </w:pPr>
          </w:p>
        </w:tc>
      </w:tr>
    </w:tbl>
    <w:p w14:paraId="1EE3FBD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B4E5909"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F2BD0A3"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C9C64FF"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CA70BAA"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31541D0"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A0FEE6F" w14:textId="77777777" w:rsidR="001A2186" w:rsidRDefault="001A2186"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7A0D586"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0" w:type="auto"/>
        <w:tblCellMar>
          <w:left w:w="70" w:type="dxa"/>
          <w:right w:w="70" w:type="dxa"/>
        </w:tblCellMar>
        <w:tblLook w:val="04A0" w:firstRow="1" w:lastRow="0" w:firstColumn="1" w:lastColumn="0" w:noHBand="0" w:noVBand="1"/>
      </w:tblPr>
      <w:tblGrid>
        <w:gridCol w:w="6484"/>
        <w:gridCol w:w="834"/>
        <w:gridCol w:w="1373"/>
        <w:gridCol w:w="1221"/>
      </w:tblGrid>
      <w:tr w:rsidR="00BE5714" w:rsidRPr="001608C4" w14:paraId="589D0D4B" w14:textId="77777777" w:rsidTr="001608C4">
        <w:trPr>
          <w:trHeight w:val="311"/>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26E9D80"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lastRenderedPageBreak/>
              <w:t>PROMOCIÓN DE LA CIUDAD DE LAS PALMAS DE GRAN CANARIA, S.A.</w:t>
            </w:r>
          </w:p>
        </w:tc>
      </w:tr>
      <w:tr w:rsidR="00BE5714" w:rsidRPr="001608C4" w14:paraId="3F030F16" w14:textId="77777777" w:rsidTr="001608C4">
        <w:trPr>
          <w:trHeight w:val="73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13CF4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 xml:space="preserve">ESTADO DE CAMBIOS EN EL PATRIMONIO </w:t>
            </w:r>
            <w:proofErr w:type="gramStart"/>
            <w:r w:rsidRPr="001608C4">
              <w:rPr>
                <w:rFonts w:ascii="Times New Roman" w:hAnsi="Times New Roman" w:cs="Times New Roman"/>
                <w:b/>
                <w:bCs/>
                <w:sz w:val="16"/>
                <w:szCs w:val="16"/>
              </w:rPr>
              <w:t>NETO  CORRESPONDIENTE</w:t>
            </w:r>
            <w:proofErr w:type="gramEnd"/>
            <w:r w:rsidRPr="001608C4">
              <w:rPr>
                <w:rFonts w:ascii="Times New Roman" w:hAnsi="Times New Roman" w:cs="Times New Roman"/>
                <w:b/>
                <w:bCs/>
                <w:sz w:val="16"/>
                <w:szCs w:val="16"/>
              </w:rPr>
              <w:t xml:space="preserve"> AL EJERCICIO TERMINADO EL 31 DE DICIEMBRE DE 2022</w:t>
            </w:r>
          </w:p>
        </w:tc>
      </w:tr>
      <w:tr w:rsidR="00BE5714" w:rsidRPr="001608C4" w14:paraId="4AA46296" w14:textId="77777777" w:rsidTr="001608C4">
        <w:trPr>
          <w:trHeight w:val="254"/>
        </w:trPr>
        <w:tc>
          <w:tcPr>
            <w:tcW w:w="0" w:type="auto"/>
            <w:tcBorders>
              <w:top w:val="nil"/>
              <w:left w:val="nil"/>
              <w:bottom w:val="nil"/>
              <w:right w:val="nil"/>
            </w:tcBorders>
            <w:shd w:val="clear" w:color="auto" w:fill="auto"/>
            <w:noWrap/>
            <w:vAlign w:val="center"/>
            <w:hideMark/>
          </w:tcPr>
          <w:p w14:paraId="73669F59"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0" w:type="auto"/>
            <w:tcBorders>
              <w:top w:val="nil"/>
              <w:left w:val="nil"/>
              <w:bottom w:val="nil"/>
              <w:right w:val="nil"/>
            </w:tcBorders>
            <w:shd w:val="clear" w:color="auto" w:fill="auto"/>
            <w:noWrap/>
            <w:vAlign w:val="center"/>
            <w:hideMark/>
          </w:tcPr>
          <w:p w14:paraId="42FC09CD"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5A10C9AC"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5115C145" w14:textId="77777777" w:rsidR="00BE5714" w:rsidRPr="001608C4" w:rsidRDefault="00BE5714" w:rsidP="00BE5714">
            <w:pPr>
              <w:widowControl/>
              <w:autoSpaceDE/>
              <w:autoSpaceDN/>
              <w:adjustRightInd/>
              <w:rPr>
                <w:rFonts w:ascii="Times New Roman" w:hAnsi="Times New Roman" w:cs="Times New Roman"/>
                <w:sz w:val="16"/>
                <w:szCs w:val="16"/>
              </w:rPr>
            </w:pPr>
          </w:p>
        </w:tc>
      </w:tr>
      <w:tr w:rsidR="00BE5714" w:rsidRPr="001608C4" w14:paraId="4A5C29DA" w14:textId="77777777" w:rsidTr="001608C4">
        <w:trPr>
          <w:trHeight w:val="73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66EB4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A) ESTADO DE INGRESOS Y GASTOS RECONOCIDOS CORRESPONDIENTE AL EJERCICIO TERMINADO EL 31 DE DICIEMBRE DE 2022</w:t>
            </w:r>
          </w:p>
        </w:tc>
      </w:tr>
      <w:tr w:rsidR="00BE5714" w:rsidRPr="001608C4" w14:paraId="365B9837" w14:textId="77777777" w:rsidTr="001608C4">
        <w:trPr>
          <w:trHeight w:val="254"/>
        </w:trPr>
        <w:tc>
          <w:tcPr>
            <w:tcW w:w="0" w:type="auto"/>
            <w:tcBorders>
              <w:top w:val="nil"/>
              <w:left w:val="nil"/>
              <w:bottom w:val="nil"/>
              <w:right w:val="nil"/>
            </w:tcBorders>
            <w:shd w:val="clear" w:color="auto" w:fill="auto"/>
            <w:noWrap/>
            <w:vAlign w:val="center"/>
            <w:hideMark/>
          </w:tcPr>
          <w:p w14:paraId="4CBE791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0" w:type="auto"/>
            <w:tcBorders>
              <w:top w:val="nil"/>
              <w:left w:val="nil"/>
              <w:bottom w:val="nil"/>
              <w:right w:val="nil"/>
            </w:tcBorders>
            <w:shd w:val="clear" w:color="auto" w:fill="auto"/>
            <w:noWrap/>
            <w:vAlign w:val="center"/>
            <w:hideMark/>
          </w:tcPr>
          <w:p w14:paraId="423872F2"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0A9E96F8"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01124E89" w14:textId="77777777" w:rsidR="00BE5714" w:rsidRPr="001608C4" w:rsidRDefault="00BE5714" w:rsidP="00BE5714">
            <w:pPr>
              <w:widowControl/>
              <w:autoSpaceDE/>
              <w:autoSpaceDN/>
              <w:adjustRightInd/>
              <w:rPr>
                <w:rFonts w:ascii="Times New Roman" w:hAnsi="Times New Roman" w:cs="Times New Roman"/>
                <w:sz w:val="16"/>
                <w:szCs w:val="16"/>
              </w:rPr>
            </w:pPr>
          </w:p>
        </w:tc>
      </w:tr>
      <w:tr w:rsidR="00BE5714" w:rsidRPr="001608C4" w14:paraId="5AA6578A" w14:textId="77777777" w:rsidTr="001608C4">
        <w:trPr>
          <w:trHeight w:val="254"/>
        </w:trPr>
        <w:tc>
          <w:tcPr>
            <w:tcW w:w="0" w:type="auto"/>
            <w:tcBorders>
              <w:top w:val="nil"/>
              <w:left w:val="nil"/>
              <w:bottom w:val="nil"/>
              <w:right w:val="nil"/>
            </w:tcBorders>
            <w:shd w:val="clear" w:color="auto" w:fill="auto"/>
            <w:noWrap/>
            <w:vAlign w:val="center"/>
            <w:hideMark/>
          </w:tcPr>
          <w:p w14:paraId="72EB4388"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468A9DA2"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38F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AÑO 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6CA297"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AÑO 2021</w:t>
            </w:r>
          </w:p>
        </w:tc>
      </w:tr>
      <w:tr w:rsidR="00BE5714" w:rsidRPr="001608C4" w14:paraId="71B5043C" w14:textId="77777777" w:rsidTr="001608C4">
        <w:trPr>
          <w:trHeight w:val="40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93D6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A) Resultado de la cuenta de pérdidas y ganancias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362E7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Nota</w:t>
            </w:r>
          </w:p>
        </w:tc>
        <w:tc>
          <w:tcPr>
            <w:tcW w:w="0" w:type="auto"/>
            <w:tcBorders>
              <w:top w:val="nil"/>
              <w:left w:val="nil"/>
              <w:bottom w:val="nil"/>
              <w:right w:val="single" w:sz="4" w:space="0" w:color="auto"/>
            </w:tcBorders>
            <w:shd w:val="clear" w:color="auto" w:fill="auto"/>
            <w:noWrap/>
            <w:vAlign w:val="center"/>
            <w:hideMark/>
          </w:tcPr>
          <w:p w14:paraId="31A1DAC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(1.612.098,92)</w:t>
            </w:r>
          </w:p>
        </w:tc>
        <w:tc>
          <w:tcPr>
            <w:tcW w:w="0" w:type="auto"/>
            <w:tcBorders>
              <w:top w:val="nil"/>
              <w:left w:val="nil"/>
              <w:bottom w:val="single" w:sz="4" w:space="0" w:color="auto"/>
              <w:right w:val="single" w:sz="4" w:space="0" w:color="auto"/>
            </w:tcBorders>
            <w:shd w:val="clear" w:color="auto" w:fill="auto"/>
            <w:noWrap/>
            <w:vAlign w:val="center"/>
            <w:hideMark/>
          </w:tcPr>
          <w:p w14:paraId="29530A0B" w14:textId="77777777" w:rsidR="00BE5714" w:rsidRPr="001608C4" w:rsidRDefault="00BE5714" w:rsidP="00BE5714">
            <w:pPr>
              <w:widowControl/>
              <w:autoSpaceDE/>
              <w:autoSpaceDN/>
              <w:adjustRightInd/>
              <w:jc w:val="right"/>
              <w:rPr>
                <w:rFonts w:ascii="Times New Roman" w:hAnsi="Times New Roman" w:cs="Times New Roman"/>
                <w:b/>
                <w:bCs/>
                <w:sz w:val="16"/>
                <w:szCs w:val="16"/>
              </w:rPr>
            </w:pPr>
            <w:r w:rsidRPr="001608C4">
              <w:rPr>
                <w:rFonts w:ascii="Times New Roman" w:hAnsi="Times New Roman" w:cs="Times New Roman"/>
                <w:b/>
                <w:bCs/>
                <w:sz w:val="16"/>
                <w:szCs w:val="16"/>
              </w:rPr>
              <w:t xml:space="preserve">32.564,19 </w:t>
            </w:r>
          </w:p>
        </w:tc>
      </w:tr>
      <w:tr w:rsidR="00BE5714" w:rsidRPr="001608C4" w14:paraId="49DC8448"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4870737F"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single" w:sz="4" w:space="0" w:color="auto"/>
              <w:bottom w:val="nil"/>
              <w:right w:val="nil"/>
            </w:tcBorders>
            <w:shd w:val="clear" w:color="auto" w:fill="auto"/>
            <w:noWrap/>
            <w:vAlign w:val="center"/>
            <w:hideMark/>
          </w:tcPr>
          <w:p w14:paraId="1D0BB92A"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65CB348E"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3FAC238C"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1C3EDDFC"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2BCB9081"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Ingresos y gastos imputados directamente al patrimonio neto</w:t>
            </w:r>
          </w:p>
        </w:tc>
        <w:tc>
          <w:tcPr>
            <w:tcW w:w="0" w:type="auto"/>
            <w:tcBorders>
              <w:top w:val="nil"/>
              <w:left w:val="single" w:sz="4" w:space="0" w:color="auto"/>
              <w:bottom w:val="nil"/>
              <w:right w:val="nil"/>
            </w:tcBorders>
            <w:shd w:val="clear" w:color="auto" w:fill="auto"/>
            <w:noWrap/>
            <w:vAlign w:val="center"/>
            <w:hideMark/>
          </w:tcPr>
          <w:p w14:paraId="3B73703E"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56A5CA05"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3144174E"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3F2014A6"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32D6CD70"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 Por valoración de instrumentos financieros.</w:t>
            </w:r>
          </w:p>
        </w:tc>
        <w:tc>
          <w:tcPr>
            <w:tcW w:w="0" w:type="auto"/>
            <w:tcBorders>
              <w:top w:val="nil"/>
              <w:left w:val="single" w:sz="4" w:space="0" w:color="auto"/>
              <w:bottom w:val="nil"/>
              <w:right w:val="nil"/>
            </w:tcBorders>
            <w:shd w:val="clear" w:color="auto" w:fill="auto"/>
            <w:noWrap/>
            <w:vAlign w:val="center"/>
            <w:hideMark/>
          </w:tcPr>
          <w:p w14:paraId="759400B3"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49EBCA03"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75B1C002"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3DB14F71"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4CC4EAF6"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1. Activos financieros disponibles para la venta.</w:t>
            </w:r>
          </w:p>
        </w:tc>
        <w:tc>
          <w:tcPr>
            <w:tcW w:w="0" w:type="auto"/>
            <w:tcBorders>
              <w:top w:val="nil"/>
              <w:left w:val="single" w:sz="4" w:space="0" w:color="auto"/>
              <w:bottom w:val="nil"/>
              <w:right w:val="nil"/>
            </w:tcBorders>
            <w:shd w:val="clear" w:color="auto" w:fill="auto"/>
            <w:noWrap/>
            <w:vAlign w:val="center"/>
            <w:hideMark/>
          </w:tcPr>
          <w:p w14:paraId="3976C439"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1C5284EB"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24C1E66B"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09BEEB0A"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56418135"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2. Otros ingresos/gastos.</w:t>
            </w:r>
          </w:p>
        </w:tc>
        <w:tc>
          <w:tcPr>
            <w:tcW w:w="0" w:type="auto"/>
            <w:tcBorders>
              <w:top w:val="nil"/>
              <w:left w:val="single" w:sz="4" w:space="0" w:color="auto"/>
              <w:bottom w:val="nil"/>
              <w:right w:val="nil"/>
            </w:tcBorders>
            <w:shd w:val="clear" w:color="auto" w:fill="auto"/>
            <w:noWrap/>
            <w:vAlign w:val="center"/>
            <w:hideMark/>
          </w:tcPr>
          <w:p w14:paraId="2A06C252"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60598520"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65550573"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216BC8A2"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7C4BA570"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II. Por coberturas de flujos de efectivo.</w:t>
            </w:r>
          </w:p>
        </w:tc>
        <w:tc>
          <w:tcPr>
            <w:tcW w:w="0" w:type="auto"/>
            <w:tcBorders>
              <w:top w:val="nil"/>
              <w:left w:val="single" w:sz="4" w:space="0" w:color="auto"/>
              <w:bottom w:val="nil"/>
              <w:right w:val="nil"/>
            </w:tcBorders>
            <w:shd w:val="clear" w:color="auto" w:fill="auto"/>
            <w:noWrap/>
            <w:vAlign w:val="center"/>
            <w:hideMark/>
          </w:tcPr>
          <w:p w14:paraId="7D16AC7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69E3A8A6"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5DC9CA89"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7494FF07"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3EFCA0AE"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III. Subvenciones, donaciones y legados recibidos.</w:t>
            </w:r>
          </w:p>
        </w:tc>
        <w:tc>
          <w:tcPr>
            <w:tcW w:w="0" w:type="auto"/>
            <w:tcBorders>
              <w:top w:val="nil"/>
              <w:left w:val="single" w:sz="4" w:space="0" w:color="auto"/>
              <w:bottom w:val="nil"/>
              <w:right w:val="nil"/>
            </w:tcBorders>
            <w:shd w:val="clear" w:color="auto" w:fill="auto"/>
            <w:noWrap/>
            <w:vAlign w:val="center"/>
            <w:hideMark/>
          </w:tcPr>
          <w:p w14:paraId="7CAD0507"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14A6EB3C"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629B22DA"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45F4F597"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130896B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IV. Por ganancias y pérdidas actuariales y otros ajustes.</w:t>
            </w:r>
          </w:p>
        </w:tc>
        <w:tc>
          <w:tcPr>
            <w:tcW w:w="0" w:type="auto"/>
            <w:tcBorders>
              <w:top w:val="nil"/>
              <w:left w:val="single" w:sz="4" w:space="0" w:color="auto"/>
              <w:bottom w:val="nil"/>
              <w:right w:val="nil"/>
            </w:tcBorders>
            <w:shd w:val="clear" w:color="auto" w:fill="auto"/>
            <w:noWrap/>
            <w:vAlign w:val="center"/>
            <w:hideMark/>
          </w:tcPr>
          <w:p w14:paraId="4B8AEF54"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2C0C453B"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6DC8A87F"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62045AAF" w14:textId="77777777" w:rsidTr="001608C4">
        <w:trPr>
          <w:trHeight w:val="254"/>
        </w:trPr>
        <w:tc>
          <w:tcPr>
            <w:tcW w:w="0" w:type="auto"/>
            <w:tcBorders>
              <w:top w:val="nil"/>
              <w:left w:val="single" w:sz="4" w:space="0" w:color="auto"/>
              <w:bottom w:val="nil"/>
              <w:right w:val="nil"/>
            </w:tcBorders>
            <w:shd w:val="clear" w:color="auto" w:fill="auto"/>
            <w:noWrap/>
            <w:vAlign w:val="center"/>
            <w:hideMark/>
          </w:tcPr>
          <w:p w14:paraId="617E7998"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 Efecto impositivo.</w:t>
            </w:r>
          </w:p>
        </w:tc>
        <w:tc>
          <w:tcPr>
            <w:tcW w:w="0" w:type="auto"/>
            <w:tcBorders>
              <w:top w:val="nil"/>
              <w:left w:val="single" w:sz="4" w:space="0" w:color="auto"/>
              <w:bottom w:val="nil"/>
              <w:right w:val="nil"/>
            </w:tcBorders>
            <w:shd w:val="clear" w:color="auto" w:fill="auto"/>
            <w:noWrap/>
            <w:vAlign w:val="center"/>
            <w:hideMark/>
          </w:tcPr>
          <w:p w14:paraId="4C0BB0F5"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779080B1"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7DA5F065"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350EE4A6" w14:textId="77777777" w:rsidTr="001608C4">
        <w:trPr>
          <w:trHeight w:val="225"/>
        </w:trPr>
        <w:tc>
          <w:tcPr>
            <w:tcW w:w="0" w:type="auto"/>
            <w:tcBorders>
              <w:top w:val="nil"/>
              <w:left w:val="single" w:sz="4" w:space="0" w:color="auto"/>
              <w:bottom w:val="nil"/>
              <w:right w:val="nil"/>
            </w:tcBorders>
            <w:shd w:val="clear" w:color="auto" w:fill="auto"/>
            <w:noWrap/>
            <w:vAlign w:val="center"/>
            <w:hideMark/>
          </w:tcPr>
          <w:p w14:paraId="5C17DF7D"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single" w:sz="4" w:space="0" w:color="auto"/>
              <w:bottom w:val="nil"/>
              <w:right w:val="nil"/>
            </w:tcBorders>
            <w:shd w:val="clear" w:color="auto" w:fill="auto"/>
            <w:noWrap/>
            <w:vAlign w:val="center"/>
            <w:hideMark/>
          </w:tcPr>
          <w:p w14:paraId="1AE5982D"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center"/>
            <w:hideMark/>
          </w:tcPr>
          <w:p w14:paraId="750BC10C"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5EF9ED3B"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26C89EF4" w14:textId="77777777" w:rsidTr="001608C4">
        <w:trPr>
          <w:trHeight w:val="4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668395"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B) Total ingresos y gastos imputados directamente en el patrimonio neto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D2A55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1E2657" w14:textId="77777777" w:rsidR="00BE5714" w:rsidRPr="001608C4" w:rsidRDefault="00BE5714" w:rsidP="00BE5714">
            <w:pPr>
              <w:widowControl/>
              <w:autoSpaceDE/>
              <w:autoSpaceDN/>
              <w:adjustRightInd/>
              <w:jc w:val="right"/>
              <w:rPr>
                <w:rFonts w:ascii="Times New Roman" w:hAnsi="Times New Roman" w:cs="Times New Roman"/>
                <w:b/>
                <w:bCs/>
                <w:sz w:val="16"/>
                <w:szCs w:val="16"/>
              </w:rPr>
            </w:pPr>
            <w:r w:rsidRPr="001608C4">
              <w:rPr>
                <w:rFonts w:ascii="Times New Roman" w:hAnsi="Times New Roman" w:cs="Times New Roman"/>
                <w:b/>
                <w:bCs/>
                <w:sz w:val="16"/>
                <w:szCs w:val="16"/>
              </w:rPr>
              <w:t xml:space="preserve">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B1BDBB" w14:textId="77777777" w:rsidR="00BE5714" w:rsidRPr="001608C4" w:rsidRDefault="00BE5714" w:rsidP="00BE5714">
            <w:pPr>
              <w:widowControl/>
              <w:autoSpaceDE/>
              <w:autoSpaceDN/>
              <w:adjustRightInd/>
              <w:jc w:val="right"/>
              <w:rPr>
                <w:rFonts w:ascii="Times New Roman" w:hAnsi="Times New Roman" w:cs="Times New Roman"/>
                <w:b/>
                <w:bCs/>
                <w:sz w:val="16"/>
                <w:szCs w:val="16"/>
              </w:rPr>
            </w:pPr>
            <w:r w:rsidRPr="001608C4">
              <w:rPr>
                <w:rFonts w:ascii="Times New Roman" w:hAnsi="Times New Roman" w:cs="Times New Roman"/>
                <w:b/>
                <w:bCs/>
                <w:sz w:val="16"/>
                <w:szCs w:val="16"/>
              </w:rPr>
              <w:t xml:space="preserve">0,00 </w:t>
            </w:r>
          </w:p>
        </w:tc>
      </w:tr>
      <w:tr w:rsidR="00BE5714" w:rsidRPr="001608C4" w14:paraId="5F7303C4"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7986BF65"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41696DD8"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04A7BD88"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321EB784"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6BA1662F"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5A64549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Transferencias a la cuenta de pérdidas y ganancias</w:t>
            </w:r>
          </w:p>
        </w:tc>
        <w:tc>
          <w:tcPr>
            <w:tcW w:w="0" w:type="auto"/>
            <w:tcBorders>
              <w:top w:val="nil"/>
              <w:left w:val="nil"/>
              <w:bottom w:val="nil"/>
              <w:right w:val="single" w:sz="4" w:space="0" w:color="auto"/>
            </w:tcBorders>
            <w:shd w:val="clear" w:color="auto" w:fill="auto"/>
            <w:noWrap/>
            <w:vAlign w:val="center"/>
            <w:hideMark/>
          </w:tcPr>
          <w:p w14:paraId="560EDFC7"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13ABBFD8"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3EEB802F"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5B04FB40"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29DA147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VI. Por valoración de instrumentos financieros.</w:t>
            </w:r>
          </w:p>
        </w:tc>
        <w:tc>
          <w:tcPr>
            <w:tcW w:w="0" w:type="auto"/>
            <w:tcBorders>
              <w:top w:val="nil"/>
              <w:left w:val="nil"/>
              <w:bottom w:val="nil"/>
              <w:right w:val="single" w:sz="4" w:space="0" w:color="auto"/>
            </w:tcBorders>
            <w:shd w:val="clear" w:color="auto" w:fill="auto"/>
            <w:noWrap/>
            <w:vAlign w:val="center"/>
            <w:hideMark/>
          </w:tcPr>
          <w:p w14:paraId="2E5092D1"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641D377C"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4FE68EE6"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18559BB8"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69279D17"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1. Activos financieros disponibles para la venta.</w:t>
            </w:r>
          </w:p>
        </w:tc>
        <w:tc>
          <w:tcPr>
            <w:tcW w:w="0" w:type="auto"/>
            <w:tcBorders>
              <w:top w:val="nil"/>
              <w:left w:val="nil"/>
              <w:bottom w:val="nil"/>
              <w:right w:val="single" w:sz="4" w:space="0" w:color="auto"/>
            </w:tcBorders>
            <w:shd w:val="clear" w:color="auto" w:fill="auto"/>
            <w:noWrap/>
            <w:vAlign w:val="center"/>
            <w:hideMark/>
          </w:tcPr>
          <w:p w14:paraId="2FC26934"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504AAE4E"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5C0DCBF0"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046A34E5"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27439A0B"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2. Otros ingresos/gastos.</w:t>
            </w:r>
          </w:p>
        </w:tc>
        <w:tc>
          <w:tcPr>
            <w:tcW w:w="0" w:type="auto"/>
            <w:tcBorders>
              <w:top w:val="nil"/>
              <w:left w:val="nil"/>
              <w:bottom w:val="nil"/>
              <w:right w:val="single" w:sz="4" w:space="0" w:color="auto"/>
            </w:tcBorders>
            <w:shd w:val="clear" w:color="auto" w:fill="auto"/>
            <w:noWrap/>
            <w:vAlign w:val="center"/>
            <w:hideMark/>
          </w:tcPr>
          <w:p w14:paraId="67795450" w14:textId="77777777" w:rsidR="00BE5714" w:rsidRPr="001608C4" w:rsidRDefault="00BE5714" w:rsidP="00BE5714">
            <w:pPr>
              <w:widowControl/>
              <w:autoSpaceDE/>
              <w:autoSpaceDN/>
              <w:adjustRightInd/>
              <w:ind w:firstLineChars="300" w:firstLine="480"/>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34A4635F"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2184F2FA"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77E43FAA"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797BE105"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VII. Por coberturas de flujos de efectivo.</w:t>
            </w:r>
          </w:p>
        </w:tc>
        <w:tc>
          <w:tcPr>
            <w:tcW w:w="0" w:type="auto"/>
            <w:tcBorders>
              <w:top w:val="nil"/>
              <w:left w:val="nil"/>
              <w:bottom w:val="nil"/>
              <w:right w:val="single" w:sz="4" w:space="0" w:color="auto"/>
            </w:tcBorders>
            <w:shd w:val="clear" w:color="auto" w:fill="auto"/>
            <w:noWrap/>
            <w:vAlign w:val="center"/>
            <w:hideMark/>
          </w:tcPr>
          <w:p w14:paraId="207486FD"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316B494A"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7BE76A41"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64B72740"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0A6B46EF"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VIII. Subvenciones, donaciones y legados recibidos.</w:t>
            </w:r>
          </w:p>
        </w:tc>
        <w:tc>
          <w:tcPr>
            <w:tcW w:w="0" w:type="auto"/>
            <w:tcBorders>
              <w:top w:val="nil"/>
              <w:left w:val="nil"/>
              <w:bottom w:val="nil"/>
              <w:right w:val="single" w:sz="4" w:space="0" w:color="auto"/>
            </w:tcBorders>
            <w:shd w:val="clear" w:color="auto" w:fill="auto"/>
            <w:noWrap/>
            <w:vAlign w:val="center"/>
            <w:hideMark/>
          </w:tcPr>
          <w:p w14:paraId="508D0123" w14:textId="77777777" w:rsidR="00BE5714" w:rsidRPr="001608C4" w:rsidRDefault="00BE5714" w:rsidP="00BE5714">
            <w:pPr>
              <w:widowControl/>
              <w:autoSpaceDE/>
              <w:autoSpaceDN/>
              <w:adjustRightInd/>
              <w:jc w:val="center"/>
              <w:rPr>
                <w:rFonts w:ascii="Times New Roman" w:hAnsi="Times New Roman" w:cs="Times New Roman"/>
                <w:sz w:val="16"/>
                <w:szCs w:val="16"/>
              </w:rPr>
            </w:pPr>
            <w:r w:rsidRPr="001608C4">
              <w:rPr>
                <w:rFonts w:ascii="Times New Roman" w:hAnsi="Times New Roman" w:cs="Times New Roman"/>
                <w:sz w:val="16"/>
                <w:szCs w:val="16"/>
              </w:rPr>
              <w:t>12</w:t>
            </w:r>
          </w:p>
        </w:tc>
        <w:tc>
          <w:tcPr>
            <w:tcW w:w="0" w:type="auto"/>
            <w:tcBorders>
              <w:top w:val="nil"/>
              <w:left w:val="nil"/>
              <w:bottom w:val="nil"/>
              <w:right w:val="single" w:sz="4" w:space="0" w:color="auto"/>
            </w:tcBorders>
            <w:shd w:val="clear" w:color="auto" w:fill="auto"/>
            <w:noWrap/>
            <w:vAlign w:val="center"/>
            <w:hideMark/>
          </w:tcPr>
          <w:p w14:paraId="4C716C0A"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(115.189,03)</w:t>
            </w:r>
          </w:p>
        </w:tc>
        <w:tc>
          <w:tcPr>
            <w:tcW w:w="0" w:type="auto"/>
            <w:tcBorders>
              <w:top w:val="nil"/>
              <w:left w:val="nil"/>
              <w:bottom w:val="nil"/>
              <w:right w:val="single" w:sz="4" w:space="0" w:color="auto"/>
            </w:tcBorders>
            <w:shd w:val="clear" w:color="auto" w:fill="auto"/>
            <w:noWrap/>
            <w:vAlign w:val="center"/>
            <w:hideMark/>
          </w:tcPr>
          <w:p w14:paraId="364A8AAF"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(115.189,03)</w:t>
            </w:r>
          </w:p>
        </w:tc>
      </w:tr>
      <w:tr w:rsidR="00BE5714" w:rsidRPr="001608C4" w14:paraId="6ABEDAF8" w14:textId="77777777" w:rsidTr="001608C4">
        <w:trPr>
          <w:trHeight w:val="254"/>
        </w:trPr>
        <w:tc>
          <w:tcPr>
            <w:tcW w:w="0" w:type="auto"/>
            <w:tcBorders>
              <w:top w:val="nil"/>
              <w:left w:val="single" w:sz="4" w:space="0" w:color="auto"/>
              <w:bottom w:val="nil"/>
              <w:right w:val="single" w:sz="4" w:space="0" w:color="auto"/>
            </w:tcBorders>
            <w:shd w:val="clear" w:color="auto" w:fill="auto"/>
            <w:noWrap/>
            <w:vAlign w:val="center"/>
            <w:hideMark/>
          </w:tcPr>
          <w:p w14:paraId="6169AD9F"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IX. Efecto impositivo.</w:t>
            </w:r>
          </w:p>
        </w:tc>
        <w:tc>
          <w:tcPr>
            <w:tcW w:w="0" w:type="auto"/>
            <w:tcBorders>
              <w:top w:val="nil"/>
              <w:left w:val="nil"/>
              <w:bottom w:val="nil"/>
              <w:right w:val="single" w:sz="4" w:space="0" w:color="auto"/>
            </w:tcBorders>
            <w:shd w:val="clear" w:color="auto" w:fill="auto"/>
            <w:noWrap/>
            <w:vAlign w:val="center"/>
            <w:hideMark/>
          </w:tcPr>
          <w:p w14:paraId="2E3691C4"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7E82E058"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center"/>
            <w:hideMark/>
          </w:tcPr>
          <w:p w14:paraId="7DE58F7E"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36F07856" w14:textId="77777777" w:rsidTr="001608C4">
        <w:trPr>
          <w:trHeight w:val="2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34239"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7704E49"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A782E98"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FA06286"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 </w:t>
            </w:r>
          </w:p>
        </w:tc>
      </w:tr>
      <w:tr w:rsidR="00BE5714" w:rsidRPr="001608C4" w14:paraId="57699057" w14:textId="77777777" w:rsidTr="001608C4">
        <w:trPr>
          <w:trHeight w:val="4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543EC"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C) Total transferencias a la cuenta de pérdidas y ganancias</w:t>
            </w:r>
          </w:p>
        </w:tc>
        <w:tc>
          <w:tcPr>
            <w:tcW w:w="0" w:type="auto"/>
            <w:tcBorders>
              <w:top w:val="nil"/>
              <w:left w:val="nil"/>
              <w:bottom w:val="single" w:sz="4" w:space="0" w:color="auto"/>
              <w:right w:val="single" w:sz="4" w:space="0" w:color="auto"/>
            </w:tcBorders>
            <w:shd w:val="clear" w:color="auto" w:fill="auto"/>
            <w:noWrap/>
            <w:vAlign w:val="center"/>
            <w:hideMark/>
          </w:tcPr>
          <w:p w14:paraId="764B95EA"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center"/>
            <w:hideMark/>
          </w:tcPr>
          <w:p w14:paraId="4CC32266"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(115.189,03)</w:t>
            </w:r>
          </w:p>
        </w:tc>
        <w:tc>
          <w:tcPr>
            <w:tcW w:w="0" w:type="auto"/>
            <w:tcBorders>
              <w:top w:val="nil"/>
              <w:left w:val="nil"/>
              <w:bottom w:val="nil"/>
              <w:right w:val="single" w:sz="4" w:space="0" w:color="auto"/>
            </w:tcBorders>
            <w:shd w:val="clear" w:color="auto" w:fill="auto"/>
            <w:noWrap/>
            <w:vAlign w:val="center"/>
            <w:hideMark/>
          </w:tcPr>
          <w:p w14:paraId="750B8E93"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(115.189,03)</w:t>
            </w:r>
          </w:p>
        </w:tc>
      </w:tr>
      <w:tr w:rsidR="00BE5714" w:rsidRPr="001608C4" w14:paraId="52C81DCC" w14:textId="77777777" w:rsidTr="001608C4">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34C06"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01843AB"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E8C785"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3B0F55" w14:textId="77777777" w:rsidR="00BE5714" w:rsidRPr="001608C4" w:rsidRDefault="00BE5714" w:rsidP="00BE5714">
            <w:pPr>
              <w:widowControl/>
              <w:autoSpaceDE/>
              <w:autoSpaceDN/>
              <w:adjustRightInd/>
              <w:rPr>
                <w:rFonts w:ascii="Times New Roman" w:hAnsi="Times New Roman" w:cs="Times New Roman"/>
                <w:b/>
                <w:bCs/>
                <w:sz w:val="16"/>
                <w:szCs w:val="16"/>
              </w:rPr>
            </w:pPr>
            <w:r w:rsidRPr="001608C4">
              <w:rPr>
                <w:rFonts w:ascii="Times New Roman" w:hAnsi="Times New Roman" w:cs="Times New Roman"/>
                <w:b/>
                <w:bCs/>
                <w:sz w:val="16"/>
                <w:szCs w:val="16"/>
              </w:rPr>
              <w:t> </w:t>
            </w:r>
          </w:p>
        </w:tc>
      </w:tr>
      <w:tr w:rsidR="00BE5714" w:rsidRPr="001608C4" w14:paraId="0C6EF6A6" w14:textId="77777777" w:rsidTr="001608C4">
        <w:trPr>
          <w:trHeight w:val="4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C06EE"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proofErr w:type="gramStart"/>
            <w:r w:rsidRPr="001608C4">
              <w:rPr>
                <w:rFonts w:ascii="Times New Roman" w:hAnsi="Times New Roman" w:cs="Times New Roman"/>
                <w:b/>
                <w:bCs/>
                <w:sz w:val="16"/>
                <w:szCs w:val="16"/>
              </w:rPr>
              <w:t>TOTAL</w:t>
            </w:r>
            <w:proofErr w:type="gramEnd"/>
            <w:r w:rsidRPr="001608C4">
              <w:rPr>
                <w:rFonts w:ascii="Times New Roman" w:hAnsi="Times New Roman" w:cs="Times New Roman"/>
                <w:b/>
                <w:bCs/>
                <w:sz w:val="16"/>
                <w:szCs w:val="16"/>
              </w:rPr>
              <w:t xml:space="preserve"> DE INGRESOS Y GASTOS RECONOCIDOS </w:t>
            </w:r>
          </w:p>
        </w:tc>
        <w:tc>
          <w:tcPr>
            <w:tcW w:w="0" w:type="auto"/>
            <w:tcBorders>
              <w:top w:val="nil"/>
              <w:left w:val="nil"/>
              <w:bottom w:val="single" w:sz="4" w:space="0" w:color="auto"/>
              <w:right w:val="single" w:sz="4" w:space="0" w:color="auto"/>
            </w:tcBorders>
            <w:shd w:val="clear" w:color="auto" w:fill="auto"/>
            <w:noWrap/>
            <w:vAlign w:val="center"/>
            <w:hideMark/>
          </w:tcPr>
          <w:p w14:paraId="4E12C0E9" w14:textId="77777777" w:rsidR="00BE5714" w:rsidRPr="001608C4" w:rsidRDefault="00BE5714" w:rsidP="00BE5714">
            <w:pPr>
              <w:widowControl/>
              <w:autoSpaceDE/>
              <w:autoSpaceDN/>
              <w:adjustRightInd/>
              <w:ind w:firstLineChars="100" w:firstLine="161"/>
              <w:rPr>
                <w:rFonts w:ascii="Times New Roman" w:hAnsi="Times New Roman" w:cs="Times New Roman"/>
                <w:b/>
                <w:bCs/>
                <w:sz w:val="16"/>
                <w:szCs w:val="16"/>
              </w:rPr>
            </w:pPr>
            <w:r w:rsidRPr="001608C4">
              <w:rPr>
                <w:rFonts w:ascii="Times New Roman" w:hAnsi="Times New Roman" w:cs="Times New Roman"/>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07F8C6D"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(1.727.287,95)</w:t>
            </w:r>
          </w:p>
        </w:tc>
        <w:tc>
          <w:tcPr>
            <w:tcW w:w="0" w:type="auto"/>
            <w:tcBorders>
              <w:top w:val="nil"/>
              <w:left w:val="nil"/>
              <w:bottom w:val="single" w:sz="4" w:space="0" w:color="auto"/>
              <w:right w:val="single" w:sz="4" w:space="0" w:color="auto"/>
            </w:tcBorders>
            <w:shd w:val="clear" w:color="auto" w:fill="auto"/>
            <w:noWrap/>
            <w:vAlign w:val="center"/>
            <w:hideMark/>
          </w:tcPr>
          <w:p w14:paraId="783B0D02"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r w:rsidRPr="001608C4">
              <w:rPr>
                <w:rFonts w:ascii="Times New Roman" w:hAnsi="Times New Roman" w:cs="Times New Roman"/>
                <w:b/>
                <w:bCs/>
                <w:sz w:val="16"/>
                <w:szCs w:val="16"/>
              </w:rPr>
              <w:t>(82.624,84)</w:t>
            </w:r>
          </w:p>
        </w:tc>
      </w:tr>
      <w:tr w:rsidR="00BE5714" w:rsidRPr="001608C4" w14:paraId="3366C0CC" w14:textId="77777777" w:rsidTr="001608C4">
        <w:trPr>
          <w:trHeight w:val="254"/>
        </w:trPr>
        <w:tc>
          <w:tcPr>
            <w:tcW w:w="0" w:type="auto"/>
            <w:tcBorders>
              <w:top w:val="nil"/>
              <w:left w:val="nil"/>
              <w:bottom w:val="nil"/>
              <w:right w:val="nil"/>
            </w:tcBorders>
            <w:shd w:val="clear" w:color="auto" w:fill="auto"/>
            <w:noWrap/>
            <w:vAlign w:val="center"/>
            <w:hideMark/>
          </w:tcPr>
          <w:p w14:paraId="17F8E798" w14:textId="77777777" w:rsidR="00BE5714" w:rsidRPr="001608C4" w:rsidRDefault="00BE5714" w:rsidP="00BE5714">
            <w:pPr>
              <w:widowControl/>
              <w:autoSpaceDE/>
              <w:autoSpaceDN/>
              <w:adjustRightInd/>
              <w:jc w:val="center"/>
              <w:rPr>
                <w:rFonts w:ascii="Times New Roman" w:hAnsi="Times New Roman" w:cs="Times New Roman"/>
                <w:b/>
                <w:bCs/>
                <w:sz w:val="16"/>
                <w:szCs w:val="16"/>
              </w:rPr>
            </w:pPr>
          </w:p>
        </w:tc>
        <w:tc>
          <w:tcPr>
            <w:tcW w:w="0" w:type="auto"/>
            <w:tcBorders>
              <w:top w:val="nil"/>
              <w:left w:val="nil"/>
              <w:bottom w:val="nil"/>
              <w:right w:val="nil"/>
            </w:tcBorders>
            <w:shd w:val="clear" w:color="auto" w:fill="auto"/>
            <w:noWrap/>
            <w:vAlign w:val="center"/>
            <w:hideMark/>
          </w:tcPr>
          <w:p w14:paraId="42D968EB"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299AC9C7"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323B98EE" w14:textId="77777777" w:rsidR="00BE5714" w:rsidRPr="001608C4" w:rsidRDefault="00BE5714" w:rsidP="00BE5714">
            <w:pPr>
              <w:widowControl/>
              <w:autoSpaceDE/>
              <w:autoSpaceDN/>
              <w:adjustRightInd/>
              <w:rPr>
                <w:rFonts w:ascii="Times New Roman" w:hAnsi="Times New Roman" w:cs="Times New Roman"/>
                <w:sz w:val="16"/>
                <w:szCs w:val="16"/>
              </w:rPr>
            </w:pPr>
          </w:p>
        </w:tc>
      </w:tr>
      <w:tr w:rsidR="00BE5714" w:rsidRPr="001608C4" w14:paraId="670E82AD" w14:textId="77777777" w:rsidTr="001608C4">
        <w:trPr>
          <w:trHeight w:val="254"/>
        </w:trPr>
        <w:tc>
          <w:tcPr>
            <w:tcW w:w="0" w:type="auto"/>
            <w:tcBorders>
              <w:top w:val="nil"/>
              <w:left w:val="nil"/>
              <w:bottom w:val="nil"/>
              <w:right w:val="nil"/>
            </w:tcBorders>
            <w:shd w:val="clear" w:color="auto" w:fill="auto"/>
            <w:noWrap/>
            <w:vAlign w:val="center"/>
            <w:hideMark/>
          </w:tcPr>
          <w:p w14:paraId="07FF1FE4" w14:textId="77777777" w:rsidR="00BE5714" w:rsidRPr="001608C4" w:rsidRDefault="00BE5714" w:rsidP="00BE5714">
            <w:pPr>
              <w:widowControl/>
              <w:autoSpaceDE/>
              <w:autoSpaceDN/>
              <w:adjustRightInd/>
              <w:rPr>
                <w:rFonts w:ascii="Times New Roman" w:hAnsi="Times New Roman" w:cs="Times New Roman"/>
                <w:sz w:val="16"/>
                <w:szCs w:val="16"/>
              </w:rPr>
            </w:pPr>
            <w:r w:rsidRPr="001608C4">
              <w:rPr>
                <w:rFonts w:ascii="Times New Roman" w:hAnsi="Times New Roman" w:cs="Times New Roman"/>
                <w:sz w:val="16"/>
                <w:szCs w:val="16"/>
              </w:rPr>
              <w:t>La nota adjunta forma parte integrante de las cuentas anuales.</w:t>
            </w:r>
          </w:p>
        </w:tc>
        <w:tc>
          <w:tcPr>
            <w:tcW w:w="0" w:type="auto"/>
            <w:tcBorders>
              <w:top w:val="nil"/>
              <w:left w:val="nil"/>
              <w:bottom w:val="nil"/>
              <w:right w:val="nil"/>
            </w:tcBorders>
            <w:shd w:val="clear" w:color="auto" w:fill="auto"/>
            <w:noWrap/>
            <w:vAlign w:val="center"/>
            <w:hideMark/>
          </w:tcPr>
          <w:p w14:paraId="61770FC5"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2FA4DD45"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0" w:type="auto"/>
            <w:tcBorders>
              <w:top w:val="nil"/>
              <w:left w:val="nil"/>
              <w:bottom w:val="nil"/>
              <w:right w:val="nil"/>
            </w:tcBorders>
            <w:shd w:val="clear" w:color="auto" w:fill="auto"/>
            <w:noWrap/>
            <w:vAlign w:val="center"/>
            <w:hideMark/>
          </w:tcPr>
          <w:p w14:paraId="62C97EB3" w14:textId="77777777" w:rsidR="00BE5714" w:rsidRPr="001608C4" w:rsidRDefault="00BE5714" w:rsidP="00BE5714">
            <w:pPr>
              <w:widowControl/>
              <w:autoSpaceDE/>
              <w:autoSpaceDN/>
              <w:adjustRightInd/>
              <w:rPr>
                <w:rFonts w:ascii="Times New Roman" w:hAnsi="Times New Roman" w:cs="Times New Roman"/>
                <w:sz w:val="16"/>
                <w:szCs w:val="16"/>
              </w:rPr>
            </w:pPr>
          </w:p>
        </w:tc>
      </w:tr>
    </w:tbl>
    <w:p w14:paraId="513176E0"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0458C6F"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16C97CAD"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F18215F"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B93F142"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0EE99B3"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8F0D824" w14:textId="77777777" w:rsidR="001608C4" w:rsidRDefault="001608C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sectPr w:rsidR="001608C4" w:rsidSect="002629A8">
          <w:footerReference w:type="default" r:id="rId8"/>
          <w:pgSz w:w="11907" w:h="16840"/>
          <w:pgMar w:top="993" w:right="1418" w:bottom="1276" w:left="567" w:header="720" w:footer="720" w:gutter="0"/>
          <w:pgNumType w:start="1"/>
          <w:cols w:space="708"/>
          <w:docGrid w:linePitch="360"/>
        </w:sectPr>
      </w:pPr>
    </w:p>
    <w:p w14:paraId="5A419BBB"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2EBD7A3" w14:textId="77777777" w:rsidR="001608C4" w:rsidRDefault="001608C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1536"/>
        <w:gridCol w:w="1119"/>
        <w:gridCol w:w="648"/>
        <w:gridCol w:w="692"/>
        <w:gridCol w:w="1048"/>
        <w:gridCol w:w="1208"/>
        <w:gridCol w:w="959"/>
        <w:gridCol w:w="1057"/>
        <w:gridCol w:w="1181"/>
        <w:gridCol w:w="905"/>
        <w:gridCol w:w="1056"/>
        <w:gridCol w:w="736"/>
        <w:gridCol w:w="1208"/>
        <w:gridCol w:w="1208"/>
      </w:tblGrid>
      <w:tr w:rsidR="00BE5714" w:rsidRPr="001608C4" w14:paraId="49F442EE" w14:textId="77777777" w:rsidTr="001608C4">
        <w:trPr>
          <w:trHeight w:val="314"/>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416CB5" w14:textId="77777777" w:rsidR="00BE5714" w:rsidRPr="001608C4" w:rsidRDefault="00BE5714" w:rsidP="00BE5714">
            <w:pPr>
              <w:widowControl/>
              <w:autoSpaceDE/>
              <w:autoSpaceDN/>
              <w:adjustRightInd/>
              <w:jc w:val="center"/>
              <w:rPr>
                <w:b/>
                <w:bCs/>
                <w:sz w:val="16"/>
                <w:szCs w:val="16"/>
              </w:rPr>
            </w:pPr>
            <w:r w:rsidRPr="001608C4">
              <w:rPr>
                <w:b/>
                <w:bCs/>
                <w:sz w:val="16"/>
                <w:szCs w:val="16"/>
              </w:rPr>
              <w:t>PROMOCIÓN DE LA CIUDAD DE LAS PALMAS DE GRAN CANARIA, S.A.</w:t>
            </w:r>
          </w:p>
        </w:tc>
      </w:tr>
      <w:tr w:rsidR="00BE5714" w:rsidRPr="001608C4" w14:paraId="538179C1" w14:textId="77777777" w:rsidTr="001608C4">
        <w:trPr>
          <w:trHeight w:val="51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AB882DF" w14:textId="77777777" w:rsidR="00BE5714" w:rsidRPr="001608C4" w:rsidRDefault="00BE5714" w:rsidP="00BE5714">
            <w:pPr>
              <w:widowControl/>
              <w:autoSpaceDE/>
              <w:autoSpaceDN/>
              <w:adjustRightInd/>
              <w:jc w:val="center"/>
              <w:rPr>
                <w:b/>
                <w:bCs/>
                <w:sz w:val="16"/>
                <w:szCs w:val="16"/>
              </w:rPr>
            </w:pPr>
            <w:r w:rsidRPr="001608C4">
              <w:rPr>
                <w:b/>
                <w:bCs/>
                <w:sz w:val="16"/>
                <w:szCs w:val="16"/>
              </w:rPr>
              <w:t>B) ESTADO TOTAL DE CAMBIOS EN EL PATRIMONIO NETO CORRESPONDIENTE AL EJERCICIO TERMINADO EL 31 DE DICIEMBRE DE 2022</w:t>
            </w:r>
          </w:p>
        </w:tc>
      </w:tr>
      <w:tr w:rsidR="00BE5714" w:rsidRPr="001608C4" w14:paraId="7B15FB6E" w14:textId="77777777" w:rsidTr="001608C4">
        <w:trPr>
          <w:trHeight w:val="231"/>
        </w:trPr>
        <w:tc>
          <w:tcPr>
            <w:tcW w:w="1198" w:type="pct"/>
            <w:tcBorders>
              <w:top w:val="nil"/>
              <w:left w:val="nil"/>
              <w:bottom w:val="nil"/>
              <w:right w:val="nil"/>
            </w:tcBorders>
            <w:shd w:val="clear" w:color="auto" w:fill="auto"/>
            <w:noWrap/>
            <w:vAlign w:val="center"/>
            <w:hideMark/>
          </w:tcPr>
          <w:p w14:paraId="2928CBAA" w14:textId="77777777" w:rsidR="00BE5714" w:rsidRPr="001608C4" w:rsidRDefault="00BE5714" w:rsidP="00BE5714">
            <w:pPr>
              <w:widowControl/>
              <w:autoSpaceDE/>
              <w:autoSpaceDN/>
              <w:adjustRightInd/>
              <w:jc w:val="center"/>
              <w:rPr>
                <w:b/>
                <w:bCs/>
                <w:sz w:val="16"/>
                <w:szCs w:val="16"/>
              </w:rPr>
            </w:pPr>
          </w:p>
        </w:tc>
        <w:tc>
          <w:tcPr>
            <w:tcW w:w="280" w:type="pct"/>
            <w:tcBorders>
              <w:top w:val="nil"/>
              <w:left w:val="nil"/>
              <w:bottom w:val="nil"/>
              <w:right w:val="nil"/>
            </w:tcBorders>
            <w:shd w:val="clear" w:color="auto" w:fill="auto"/>
            <w:noWrap/>
            <w:vAlign w:val="center"/>
            <w:hideMark/>
          </w:tcPr>
          <w:p w14:paraId="1D19F77A"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837B813"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5C9D5F95"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17" w:type="pct"/>
            <w:tcBorders>
              <w:top w:val="nil"/>
              <w:left w:val="nil"/>
              <w:bottom w:val="nil"/>
              <w:right w:val="nil"/>
            </w:tcBorders>
            <w:shd w:val="clear" w:color="auto" w:fill="auto"/>
            <w:noWrap/>
            <w:vAlign w:val="center"/>
            <w:hideMark/>
          </w:tcPr>
          <w:p w14:paraId="1C68B731"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8488107"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108AEC85"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3CA07146"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13" w:type="pct"/>
            <w:tcBorders>
              <w:top w:val="nil"/>
              <w:left w:val="nil"/>
              <w:bottom w:val="nil"/>
              <w:right w:val="nil"/>
            </w:tcBorders>
            <w:shd w:val="clear" w:color="auto" w:fill="auto"/>
            <w:noWrap/>
            <w:vAlign w:val="center"/>
            <w:hideMark/>
          </w:tcPr>
          <w:p w14:paraId="722664CA"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45F59BD5"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A681D5B"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73B2A3E"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8" w:type="pct"/>
            <w:tcBorders>
              <w:top w:val="nil"/>
              <w:left w:val="nil"/>
              <w:bottom w:val="nil"/>
              <w:right w:val="nil"/>
            </w:tcBorders>
            <w:shd w:val="clear" w:color="auto" w:fill="auto"/>
            <w:noWrap/>
            <w:vAlign w:val="center"/>
            <w:hideMark/>
          </w:tcPr>
          <w:p w14:paraId="03D03B82"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61" w:type="pct"/>
            <w:tcBorders>
              <w:top w:val="nil"/>
              <w:left w:val="nil"/>
              <w:bottom w:val="nil"/>
              <w:right w:val="nil"/>
            </w:tcBorders>
            <w:shd w:val="clear" w:color="auto" w:fill="auto"/>
            <w:noWrap/>
            <w:vAlign w:val="center"/>
            <w:hideMark/>
          </w:tcPr>
          <w:p w14:paraId="6687996E" w14:textId="77777777" w:rsidR="00BE5714" w:rsidRPr="001608C4" w:rsidRDefault="00BE5714" w:rsidP="00BE5714">
            <w:pPr>
              <w:widowControl/>
              <w:autoSpaceDE/>
              <w:autoSpaceDN/>
              <w:adjustRightInd/>
              <w:rPr>
                <w:rFonts w:ascii="Times New Roman" w:hAnsi="Times New Roman" w:cs="Times New Roman"/>
                <w:sz w:val="16"/>
                <w:szCs w:val="16"/>
              </w:rPr>
            </w:pPr>
          </w:p>
        </w:tc>
      </w:tr>
      <w:tr w:rsidR="00BE5714" w:rsidRPr="001608C4" w14:paraId="63619B67" w14:textId="77777777" w:rsidTr="001608C4">
        <w:trPr>
          <w:trHeight w:val="375"/>
        </w:trPr>
        <w:tc>
          <w:tcPr>
            <w:tcW w:w="1198" w:type="pct"/>
            <w:tcBorders>
              <w:top w:val="nil"/>
              <w:left w:val="nil"/>
              <w:bottom w:val="nil"/>
              <w:right w:val="nil"/>
            </w:tcBorders>
            <w:shd w:val="clear" w:color="auto" w:fill="auto"/>
            <w:vAlign w:val="center"/>
            <w:hideMark/>
          </w:tcPr>
          <w:p w14:paraId="155BAF70"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6148E" w14:textId="77777777" w:rsidR="00BE5714" w:rsidRPr="001608C4" w:rsidRDefault="00BE5714" w:rsidP="00BE5714">
            <w:pPr>
              <w:widowControl/>
              <w:autoSpaceDE/>
              <w:autoSpaceDN/>
              <w:adjustRightInd/>
              <w:jc w:val="center"/>
              <w:rPr>
                <w:sz w:val="16"/>
                <w:szCs w:val="16"/>
              </w:rPr>
            </w:pPr>
            <w:r w:rsidRPr="001608C4">
              <w:rPr>
                <w:sz w:val="16"/>
                <w:szCs w:val="16"/>
              </w:rPr>
              <w:t>Capital</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F869E" w14:textId="77777777" w:rsidR="00BE5714" w:rsidRPr="001608C4" w:rsidRDefault="00BE5714" w:rsidP="00BE5714">
            <w:pPr>
              <w:widowControl/>
              <w:autoSpaceDE/>
              <w:autoSpaceDN/>
              <w:adjustRightInd/>
              <w:jc w:val="center"/>
              <w:rPr>
                <w:sz w:val="16"/>
                <w:szCs w:val="16"/>
              </w:rPr>
            </w:pPr>
            <w:r w:rsidRPr="001608C4">
              <w:rPr>
                <w:sz w:val="16"/>
                <w:szCs w:val="16"/>
              </w:rPr>
              <w:t>Prima de emisión</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C3F21" w14:textId="77777777" w:rsidR="00BE5714" w:rsidRPr="001608C4" w:rsidRDefault="00BE5714" w:rsidP="00BE5714">
            <w:pPr>
              <w:widowControl/>
              <w:autoSpaceDE/>
              <w:autoSpaceDN/>
              <w:adjustRightInd/>
              <w:jc w:val="center"/>
              <w:rPr>
                <w:sz w:val="16"/>
                <w:szCs w:val="16"/>
              </w:rPr>
            </w:pPr>
            <w:r w:rsidRPr="001608C4">
              <w:rPr>
                <w:sz w:val="16"/>
                <w:szCs w:val="16"/>
              </w:rPr>
              <w:t>Reservas</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EA5C3" w14:textId="77777777" w:rsidR="00BE5714" w:rsidRPr="001608C4" w:rsidRDefault="00BE5714" w:rsidP="00BE5714">
            <w:pPr>
              <w:widowControl/>
              <w:autoSpaceDE/>
              <w:autoSpaceDN/>
              <w:adjustRightInd/>
              <w:jc w:val="center"/>
              <w:rPr>
                <w:sz w:val="16"/>
                <w:szCs w:val="16"/>
              </w:rPr>
            </w:pPr>
            <w:r w:rsidRPr="001608C4">
              <w:rPr>
                <w:sz w:val="16"/>
                <w:szCs w:val="16"/>
              </w:rPr>
              <w:t xml:space="preserve">(Acciones y participaciones en </w:t>
            </w:r>
            <w:proofErr w:type="gramStart"/>
            <w:r w:rsidRPr="001608C4">
              <w:rPr>
                <w:sz w:val="16"/>
                <w:szCs w:val="16"/>
              </w:rPr>
              <w:t>patrimonio  propias</w:t>
            </w:r>
            <w:proofErr w:type="gramEnd"/>
            <w:r w:rsidRPr="001608C4">
              <w:rPr>
                <w:sz w:val="16"/>
                <w:szCs w:val="16"/>
              </w:rPr>
              <w:t>)</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9FC55" w14:textId="77777777" w:rsidR="00BE5714" w:rsidRPr="001608C4" w:rsidRDefault="00BE5714" w:rsidP="00BE5714">
            <w:pPr>
              <w:widowControl/>
              <w:autoSpaceDE/>
              <w:autoSpaceDN/>
              <w:adjustRightInd/>
              <w:jc w:val="center"/>
              <w:rPr>
                <w:sz w:val="16"/>
                <w:szCs w:val="16"/>
              </w:rPr>
            </w:pPr>
            <w:r w:rsidRPr="001608C4">
              <w:rPr>
                <w:sz w:val="16"/>
                <w:szCs w:val="16"/>
              </w:rPr>
              <w:t>Resultados de ejercicios anteriores</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2488F" w14:textId="77777777" w:rsidR="00BE5714" w:rsidRPr="001608C4" w:rsidRDefault="00BE5714" w:rsidP="00BE5714">
            <w:pPr>
              <w:widowControl/>
              <w:autoSpaceDE/>
              <w:autoSpaceDN/>
              <w:adjustRightInd/>
              <w:jc w:val="center"/>
              <w:rPr>
                <w:sz w:val="16"/>
                <w:szCs w:val="16"/>
              </w:rPr>
            </w:pPr>
            <w:r w:rsidRPr="001608C4">
              <w:rPr>
                <w:sz w:val="16"/>
                <w:szCs w:val="16"/>
              </w:rPr>
              <w:t>Otras aportaciones de socios</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65D34" w14:textId="77777777" w:rsidR="00BE5714" w:rsidRPr="001608C4" w:rsidRDefault="00BE5714" w:rsidP="00BE5714">
            <w:pPr>
              <w:widowControl/>
              <w:autoSpaceDE/>
              <w:autoSpaceDN/>
              <w:adjustRightInd/>
              <w:jc w:val="center"/>
              <w:rPr>
                <w:sz w:val="16"/>
                <w:szCs w:val="16"/>
              </w:rPr>
            </w:pPr>
            <w:r w:rsidRPr="001608C4">
              <w:rPr>
                <w:sz w:val="16"/>
                <w:szCs w:val="16"/>
              </w:rPr>
              <w:t>Resultado del ejercicio</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28A21" w14:textId="77777777" w:rsidR="00BE5714" w:rsidRPr="001608C4" w:rsidRDefault="00BE5714" w:rsidP="00BE5714">
            <w:pPr>
              <w:widowControl/>
              <w:autoSpaceDE/>
              <w:autoSpaceDN/>
              <w:adjustRightInd/>
              <w:jc w:val="center"/>
              <w:rPr>
                <w:sz w:val="16"/>
                <w:szCs w:val="16"/>
              </w:rPr>
            </w:pPr>
            <w:r w:rsidRPr="001608C4">
              <w:rPr>
                <w:sz w:val="16"/>
                <w:szCs w:val="16"/>
              </w:rPr>
              <w:t>(Dividendo a cuenta)</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9DFBE" w14:textId="77777777" w:rsidR="00BE5714" w:rsidRPr="001608C4" w:rsidRDefault="00BE5714" w:rsidP="00BE5714">
            <w:pPr>
              <w:widowControl/>
              <w:autoSpaceDE/>
              <w:autoSpaceDN/>
              <w:adjustRightInd/>
              <w:jc w:val="center"/>
              <w:rPr>
                <w:sz w:val="16"/>
                <w:szCs w:val="16"/>
              </w:rPr>
            </w:pPr>
            <w:r w:rsidRPr="001608C4">
              <w:rPr>
                <w:sz w:val="16"/>
                <w:szCs w:val="16"/>
              </w:rPr>
              <w:t>Otros instrumentos de patrimonio neto</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4801" w14:textId="77777777" w:rsidR="00BE5714" w:rsidRPr="001608C4" w:rsidRDefault="00BE5714" w:rsidP="00BE5714">
            <w:pPr>
              <w:widowControl/>
              <w:autoSpaceDE/>
              <w:autoSpaceDN/>
              <w:adjustRightInd/>
              <w:jc w:val="center"/>
              <w:rPr>
                <w:sz w:val="16"/>
                <w:szCs w:val="16"/>
              </w:rPr>
            </w:pPr>
            <w:r w:rsidRPr="001608C4">
              <w:rPr>
                <w:sz w:val="16"/>
                <w:szCs w:val="16"/>
              </w:rPr>
              <w:t>Ajustes por cambios de valor</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C08E2" w14:textId="77777777" w:rsidR="00BE5714" w:rsidRPr="001608C4" w:rsidRDefault="00BE5714" w:rsidP="00BE5714">
            <w:pPr>
              <w:widowControl/>
              <w:autoSpaceDE/>
              <w:autoSpaceDN/>
              <w:adjustRightInd/>
              <w:jc w:val="center"/>
              <w:rPr>
                <w:sz w:val="16"/>
                <w:szCs w:val="16"/>
              </w:rPr>
            </w:pPr>
            <w:r w:rsidRPr="001608C4">
              <w:rPr>
                <w:sz w:val="16"/>
                <w:szCs w:val="16"/>
              </w:rPr>
              <w:t>Subvenciones, donaciones y legados recibidos</w:t>
            </w:r>
          </w:p>
        </w:tc>
        <w:tc>
          <w:tcPr>
            <w:tcW w:w="3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3D9A9E" w14:textId="77777777" w:rsidR="00BE5714" w:rsidRPr="001608C4" w:rsidRDefault="00BE5714" w:rsidP="00BE5714">
            <w:pPr>
              <w:widowControl/>
              <w:autoSpaceDE/>
              <w:autoSpaceDN/>
              <w:adjustRightInd/>
              <w:jc w:val="center"/>
              <w:rPr>
                <w:sz w:val="16"/>
                <w:szCs w:val="16"/>
              </w:rPr>
            </w:pPr>
            <w:r w:rsidRPr="001608C4">
              <w:rPr>
                <w:sz w:val="16"/>
                <w:szCs w:val="16"/>
              </w:rPr>
              <w:t>TOTAL</w:t>
            </w:r>
          </w:p>
        </w:tc>
      </w:tr>
      <w:tr w:rsidR="00BE5714" w:rsidRPr="001608C4" w14:paraId="4365548A" w14:textId="77777777" w:rsidTr="001608C4">
        <w:trPr>
          <w:trHeight w:val="674"/>
        </w:trPr>
        <w:tc>
          <w:tcPr>
            <w:tcW w:w="1198" w:type="pct"/>
            <w:tcBorders>
              <w:top w:val="nil"/>
              <w:left w:val="nil"/>
              <w:bottom w:val="nil"/>
              <w:right w:val="nil"/>
            </w:tcBorders>
            <w:shd w:val="clear" w:color="auto" w:fill="auto"/>
            <w:vAlign w:val="center"/>
            <w:hideMark/>
          </w:tcPr>
          <w:p w14:paraId="3293AFEF" w14:textId="77777777" w:rsidR="00BE5714" w:rsidRPr="001608C4" w:rsidRDefault="00BE5714" w:rsidP="00BE5714">
            <w:pPr>
              <w:widowControl/>
              <w:autoSpaceDE/>
              <w:autoSpaceDN/>
              <w:adjustRightInd/>
              <w:jc w:val="center"/>
              <w:rPr>
                <w:sz w:val="16"/>
                <w:szCs w:val="16"/>
              </w:rPr>
            </w:pPr>
          </w:p>
        </w:tc>
        <w:tc>
          <w:tcPr>
            <w:tcW w:w="280" w:type="pct"/>
            <w:tcBorders>
              <w:top w:val="nil"/>
              <w:left w:val="single" w:sz="4" w:space="0" w:color="auto"/>
              <w:bottom w:val="nil"/>
              <w:right w:val="single" w:sz="4" w:space="0" w:color="auto"/>
            </w:tcBorders>
            <w:shd w:val="clear" w:color="auto" w:fill="auto"/>
            <w:vAlign w:val="center"/>
            <w:hideMark/>
          </w:tcPr>
          <w:p w14:paraId="66D144C8" w14:textId="77777777" w:rsidR="00BE5714" w:rsidRPr="001608C4" w:rsidRDefault="00BE5714" w:rsidP="00BE5714">
            <w:pPr>
              <w:widowControl/>
              <w:autoSpaceDE/>
              <w:autoSpaceDN/>
              <w:adjustRightInd/>
              <w:jc w:val="center"/>
              <w:rPr>
                <w:sz w:val="16"/>
                <w:szCs w:val="16"/>
              </w:rPr>
            </w:pPr>
            <w:r w:rsidRPr="001608C4">
              <w:rPr>
                <w:sz w:val="16"/>
                <w:szCs w:val="16"/>
              </w:rPr>
              <w:t>Escriturado</w:t>
            </w:r>
          </w:p>
        </w:tc>
        <w:tc>
          <w:tcPr>
            <w:tcW w:w="280" w:type="pct"/>
            <w:tcBorders>
              <w:top w:val="nil"/>
              <w:left w:val="nil"/>
              <w:bottom w:val="nil"/>
              <w:right w:val="single" w:sz="4" w:space="0" w:color="auto"/>
            </w:tcBorders>
            <w:shd w:val="clear" w:color="auto" w:fill="auto"/>
            <w:vAlign w:val="center"/>
            <w:hideMark/>
          </w:tcPr>
          <w:p w14:paraId="05488826" w14:textId="77777777" w:rsidR="00BE5714" w:rsidRPr="001608C4" w:rsidRDefault="00BE5714" w:rsidP="00BE5714">
            <w:pPr>
              <w:widowControl/>
              <w:autoSpaceDE/>
              <w:autoSpaceDN/>
              <w:adjustRightInd/>
              <w:jc w:val="center"/>
              <w:rPr>
                <w:sz w:val="16"/>
                <w:szCs w:val="16"/>
              </w:rPr>
            </w:pPr>
            <w:r w:rsidRPr="001608C4">
              <w:rPr>
                <w:sz w:val="16"/>
                <w:szCs w:val="16"/>
              </w:rPr>
              <w:t>No exigido</w:t>
            </w: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4A9BC4F7" w14:textId="77777777" w:rsidR="00BE5714" w:rsidRPr="001608C4" w:rsidRDefault="00BE5714" w:rsidP="00BE5714">
            <w:pPr>
              <w:widowControl/>
              <w:autoSpaceDE/>
              <w:autoSpaceDN/>
              <w:adjustRightInd/>
              <w:rPr>
                <w:sz w:val="16"/>
                <w:szCs w:val="16"/>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4E0032F"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0E6F88B"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27D9B780"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66617C85" w14:textId="77777777" w:rsidR="00BE5714" w:rsidRPr="001608C4" w:rsidRDefault="00BE5714" w:rsidP="00BE5714">
            <w:pPr>
              <w:widowControl/>
              <w:autoSpaceDE/>
              <w:autoSpaceDN/>
              <w:adjustRightInd/>
              <w:rPr>
                <w:sz w:val="16"/>
                <w:szCs w:val="16"/>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44F2DE0C"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43D4322"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2D4541D9" w14:textId="77777777" w:rsidR="00BE5714" w:rsidRPr="001608C4" w:rsidRDefault="00BE5714" w:rsidP="00BE5714">
            <w:pPr>
              <w:widowControl/>
              <w:autoSpaceDE/>
              <w:autoSpaceDN/>
              <w:adjustRightInd/>
              <w:rPr>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4FBFB25" w14:textId="77777777" w:rsidR="00BE5714" w:rsidRPr="001608C4" w:rsidRDefault="00BE5714" w:rsidP="00BE5714">
            <w:pPr>
              <w:widowControl/>
              <w:autoSpaceDE/>
              <w:autoSpaceDN/>
              <w:adjustRightInd/>
              <w:rPr>
                <w:sz w:val="16"/>
                <w:szCs w:val="16"/>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1DEA80F" w14:textId="77777777" w:rsidR="00BE5714" w:rsidRPr="001608C4" w:rsidRDefault="00BE5714" w:rsidP="00BE5714">
            <w:pPr>
              <w:widowControl/>
              <w:autoSpaceDE/>
              <w:autoSpaceDN/>
              <w:adjustRightInd/>
              <w:rPr>
                <w:sz w:val="16"/>
                <w:szCs w:val="16"/>
              </w:rPr>
            </w:pPr>
          </w:p>
        </w:tc>
        <w:tc>
          <w:tcPr>
            <w:tcW w:w="361" w:type="pct"/>
            <w:vMerge/>
            <w:tcBorders>
              <w:top w:val="single" w:sz="4" w:space="0" w:color="auto"/>
              <w:left w:val="single" w:sz="4" w:space="0" w:color="auto"/>
              <w:bottom w:val="single" w:sz="4" w:space="0" w:color="000000"/>
              <w:right w:val="single" w:sz="4" w:space="0" w:color="auto"/>
            </w:tcBorders>
            <w:vAlign w:val="center"/>
            <w:hideMark/>
          </w:tcPr>
          <w:p w14:paraId="35E23DB0" w14:textId="77777777" w:rsidR="00BE5714" w:rsidRPr="001608C4" w:rsidRDefault="00BE5714" w:rsidP="00BE5714">
            <w:pPr>
              <w:widowControl/>
              <w:autoSpaceDE/>
              <w:autoSpaceDN/>
              <w:adjustRightInd/>
              <w:rPr>
                <w:sz w:val="16"/>
                <w:szCs w:val="16"/>
              </w:rPr>
            </w:pPr>
          </w:p>
        </w:tc>
      </w:tr>
      <w:tr w:rsidR="00BE5714" w:rsidRPr="001608C4" w14:paraId="503862F6" w14:textId="77777777" w:rsidTr="001608C4">
        <w:trPr>
          <w:trHeight w:val="15"/>
        </w:trPr>
        <w:tc>
          <w:tcPr>
            <w:tcW w:w="1198" w:type="pct"/>
            <w:tcBorders>
              <w:top w:val="single" w:sz="4" w:space="0" w:color="auto"/>
              <w:left w:val="single" w:sz="4" w:space="0" w:color="auto"/>
              <w:bottom w:val="nil"/>
              <w:right w:val="single" w:sz="4" w:space="0" w:color="auto"/>
            </w:tcBorders>
            <w:shd w:val="clear" w:color="auto" w:fill="auto"/>
            <w:vAlign w:val="center"/>
            <w:hideMark/>
          </w:tcPr>
          <w:p w14:paraId="2169168A"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57926EE5"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27B51AF7"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69D82C0D"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317" w:type="pct"/>
            <w:tcBorders>
              <w:top w:val="single" w:sz="4" w:space="0" w:color="auto"/>
              <w:left w:val="nil"/>
              <w:bottom w:val="nil"/>
              <w:right w:val="single" w:sz="4" w:space="0" w:color="auto"/>
            </w:tcBorders>
            <w:shd w:val="clear" w:color="auto" w:fill="auto"/>
            <w:vAlign w:val="center"/>
            <w:hideMark/>
          </w:tcPr>
          <w:p w14:paraId="251EE303"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2CF7C055"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79A5957"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7623DFD"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313" w:type="pct"/>
            <w:tcBorders>
              <w:top w:val="single" w:sz="4" w:space="0" w:color="auto"/>
              <w:left w:val="nil"/>
              <w:bottom w:val="nil"/>
              <w:right w:val="single" w:sz="4" w:space="0" w:color="auto"/>
            </w:tcBorders>
            <w:shd w:val="clear" w:color="auto" w:fill="auto"/>
            <w:vAlign w:val="center"/>
            <w:hideMark/>
          </w:tcPr>
          <w:p w14:paraId="4EF0F584"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0D07A44B"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793694D4"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0" w:type="pct"/>
            <w:tcBorders>
              <w:top w:val="single" w:sz="4" w:space="0" w:color="auto"/>
              <w:left w:val="nil"/>
              <w:bottom w:val="nil"/>
              <w:right w:val="single" w:sz="4" w:space="0" w:color="auto"/>
            </w:tcBorders>
            <w:shd w:val="clear" w:color="auto" w:fill="auto"/>
            <w:vAlign w:val="center"/>
            <w:hideMark/>
          </w:tcPr>
          <w:p w14:paraId="3DF88313"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288" w:type="pct"/>
            <w:tcBorders>
              <w:top w:val="single" w:sz="4" w:space="0" w:color="auto"/>
              <w:left w:val="nil"/>
              <w:bottom w:val="nil"/>
              <w:right w:val="single" w:sz="4" w:space="0" w:color="auto"/>
            </w:tcBorders>
            <w:shd w:val="clear" w:color="auto" w:fill="auto"/>
            <w:vAlign w:val="center"/>
            <w:hideMark/>
          </w:tcPr>
          <w:p w14:paraId="01C945B3" w14:textId="77777777" w:rsidR="00BE5714" w:rsidRPr="001608C4" w:rsidRDefault="00BE5714" w:rsidP="00BE5714">
            <w:pPr>
              <w:widowControl/>
              <w:autoSpaceDE/>
              <w:autoSpaceDN/>
              <w:adjustRightInd/>
              <w:jc w:val="center"/>
              <w:rPr>
                <w:color w:val="0000FF"/>
                <w:sz w:val="16"/>
                <w:szCs w:val="16"/>
              </w:rPr>
            </w:pPr>
            <w:r w:rsidRPr="001608C4">
              <w:rPr>
                <w:color w:val="0000FF"/>
                <w:sz w:val="16"/>
                <w:szCs w:val="16"/>
              </w:rPr>
              <w:t> </w:t>
            </w:r>
          </w:p>
        </w:tc>
        <w:tc>
          <w:tcPr>
            <w:tcW w:w="361" w:type="pct"/>
            <w:tcBorders>
              <w:top w:val="nil"/>
              <w:left w:val="nil"/>
              <w:bottom w:val="nil"/>
              <w:right w:val="nil"/>
            </w:tcBorders>
            <w:shd w:val="clear" w:color="auto" w:fill="auto"/>
            <w:vAlign w:val="center"/>
            <w:hideMark/>
          </w:tcPr>
          <w:p w14:paraId="218396AE" w14:textId="77777777" w:rsidR="00BE5714" w:rsidRPr="001608C4" w:rsidRDefault="00BE5714" w:rsidP="00BE5714">
            <w:pPr>
              <w:widowControl/>
              <w:autoSpaceDE/>
              <w:autoSpaceDN/>
              <w:adjustRightInd/>
              <w:jc w:val="center"/>
              <w:rPr>
                <w:color w:val="0000FF"/>
                <w:sz w:val="16"/>
                <w:szCs w:val="16"/>
              </w:rPr>
            </w:pPr>
          </w:p>
        </w:tc>
      </w:tr>
      <w:tr w:rsidR="00BE5714" w:rsidRPr="001608C4" w14:paraId="6BBA5CEC"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E39485E" w14:textId="77777777" w:rsidR="00BE5714" w:rsidRPr="001608C4" w:rsidRDefault="00BE5714" w:rsidP="00BE5714">
            <w:pPr>
              <w:widowControl/>
              <w:autoSpaceDE/>
              <w:autoSpaceDN/>
              <w:adjustRightInd/>
              <w:ind w:firstLineChars="100" w:firstLine="161"/>
              <w:rPr>
                <w:b/>
                <w:bCs/>
                <w:sz w:val="16"/>
                <w:szCs w:val="16"/>
              </w:rPr>
            </w:pPr>
            <w:r w:rsidRPr="001608C4">
              <w:rPr>
                <w:b/>
                <w:bCs/>
                <w:sz w:val="16"/>
                <w:szCs w:val="16"/>
              </w:rPr>
              <w:t>A. SALDO, FINAL DEL AÑO 2020</w:t>
            </w:r>
          </w:p>
        </w:tc>
        <w:tc>
          <w:tcPr>
            <w:tcW w:w="280" w:type="pct"/>
            <w:tcBorders>
              <w:top w:val="nil"/>
              <w:left w:val="nil"/>
              <w:bottom w:val="nil"/>
              <w:right w:val="single" w:sz="4" w:space="0" w:color="auto"/>
            </w:tcBorders>
            <w:shd w:val="clear" w:color="auto" w:fill="auto"/>
            <w:noWrap/>
            <w:vAlign w:val="center"/>
            <w:hideMark/>
          </w:tcPr>
          <w:p w14:paraId="1699FF30"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2CDFA16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A3F41B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07C8A86E" w14:textId="77777777" w:rsidR="00BE5714" w:rsidRPr="001608C4" w:rsidRDefault="00BE5714" w:rsidP="00BE5714">
            <w:pPr>
              <w:widowControl/>
              <w:autoSpaceDE/>
              <w:autoSpaceDN/>
              <w:adjustRightInd/>
              <w:jc w:val="right"/>
              <w:rPr>
                <w:b/>
                <w:bCs/>
                <w:sz w:val="16"/>
                <w:szCs w:val="16"/>
              </w:rPr>
            </w:pPr>
            <w:r w:rsidRPr="001608C4">
              <w:rPr>
                <w:b/>
                <w:bCs/>
                <w:sz w:val="16"/>
                <w:szCs w:val="16"/>
              </w:rPr>
              <w:t>(441.215,98)</w:t>
            </w:r>
          </w:p>
        </w:tc>
        <w:tc>
          <w:tcPr>
            <w:tcW w:w="280" w:type="pct"/>
            <w:tcBorders>
              <w:top w:val="nil"/>
              <w:left w:val="nil"/>
              <w:bottom w:val="nil"/>
              <w:right w:val="single" w:sz="4" w:space="0" w:color="auto"/>
            </w:tcBorders>
            <w:shd w:val="clear" w:color="auto" w:fill="auto"/>
            <w:noWrap/>
            <w:vAlign w:val="center"/>
            <w:hideMark/>
          </w:tcPr>
          <w:p w14:paraId="37F2381D"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625F7432" w14:textId="77777777" w:rsidR="00BE5714" w:rsidRPr="001608C4" w:rsidRDefault="00BE5714" w:rsidP="00BE5714">
            <w:pPr>
              <w:widowControl/>
              <w:autoSpaceDE/>
              <w:autoSpaceDN/>
              <w:adjustRightInd/>
              <w:jc w:val="right"/>
              <w:rPr>
                <w:b/>
                <w:bCs/>
                <w:sz w:val="16"/>
                <w:szCs w:val="16"/>
              </w:rPr>
            </w:pPr>
            <w:r w:rsidRPr="001608C4">
              <w:rPr>
                <w:b/>
                <w:bCs/>
                <w:sz w:val="16"/>
                <w:szCs w:val="16"/>
              </w:rPr>
              <w:t>(96.499,36)</w:t>
            </w:r>
          </w:p>
        </w:tc>
        <w:tc>
          <w:tcPr>
            <w:tcW w:w="280" w:type="pct"/>
            <w:tcBorders>
              <w:top w:val="nil"/>
              <w:left w:val="nil"/>
              <w:bottom w:val="nil"/>
              <w:right w:val="single" w:sz="4" w:space="0" w:color="auto"/>
            </w:tcBorders>
            <w:shd w:val="clear" w:color="auto" w:fill="auto"/>
            <w:noWrap/>
            <w:vAlign w:val="center"/>
            <w:hideMark/>
          </w:tcPr>
          <w:p w14:paraId="02F97CD5"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3836A29D"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80.192,31 </w:t>
            </w:r>
          </w:p>
        </w:tc>
        <w:tc>
          <w:tcPr>
            <w:tcW w:w="280" w:type="pct"/>
            <w:tcBorders>
              <w:top w:val="nil"/>
              <w:left w:val="nil"/>
              <w:bottom w:val="nil"/>
              <w:right w:val="single" w:sz="4" w:space="0" w:color="auto"/>
            </w:tcBorders>
            <w:shd w:val="clear" w:color="auto" w:fill="auto"/>
            <w:noWrap/>
            <w:vAlign w:val="center"/>
            <w:hideMark/>
          </w:tcPr>
          <w:p w14:paraId="2309337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307F8DB"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3E2ABDF"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39E85A5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15.612.273,67 </w:t>
            </w:r>
          </w:p>
        </w:tc>
        <w:tc>
          <w:tcPr>
            <w:tcW w:w="361" w:type="pct"/>
            <w:tcBorders>
              <w:top w:val="nil"/>
              <w:left w:val="nil"/>
              <w:bottom w:val="nil"/>
              <w:right w:val="single" w:sz="4" w:space="0" w:color="auto"/>
            </w:tcBorders>
            <w:shd w:val="clear" w:color="auto" w:fill="auto"/>
            <w:noWrap/>
            <w:vAlign w:val="center"/>
            <w:hideMark/>
          </w:tcPr>
          <w:p w14:paraId="21DE644B"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17.214.852,64 </w:t>
            </w:r>
          </w:p>
        </w:tc>
      </w:tr>
      <w:tr w:rsidR="00BE5714" w:rsidRPr="001608C4" w14:paraId="66547E57"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78BB51B"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 Ajustes por cambios de criterio 2020 y anteriores.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5AFB1E2"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0482C9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BE2FED0"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E562B54"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AC93770"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460C2B2"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F19D5A4"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7D25F082"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38895B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9E3D23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40447D2"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434413D6"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5B9DCB3"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1798B317"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27FBC1A"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 Ajustes por errores 2020 y anteriores.</w:t>
            </w:r>
          </w:p>
        </w:tc>
        <w:tc>
          <w:tcPr>
            <w:tcW w:w="280" w:type="pct"/>
            <w:tcBorders>
              <w:top w:val="nil"/>
              <w:left w:val="nil"/>
              <w:bottom w:val="single" w:sz="4" w:space="0" w:color="auto"/>
              <w:right w:val="single" w:sz="4" w:space="0" w:color="auto"/>
            </w:tcBorders>
            <w:shd w:val="clear" w:color="auto" w:fill="auto"/>
            <w:noWrap/>
            <w:vAlign w:val="center"/>
            <w:hideMark/>
          </w:tcPr>
          <w:p w14:paraId="09600BE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4B4C028"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53C9D50"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616BFDA5"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6EE9F40"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B601AD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0F2739D"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704A08C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33FA3B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B789EB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D6E8AC7"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4CEF77F"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62F978B5"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468EF5A6"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81B2C15" w14:textId="77777777" w:rsidR="00BE5714" w:rsidRPr="001608C4" w:rsidRDefault="00BE5714" w:rsidP="00BE5714">
            <w:pPr>
              <w:widowControl/>
              <w:autoSpaceDE/>
              <w:autoSpaceDN/>
              <w:adjustRightInd/>
              <w:ind w:firstLineChars="100" w:firstLine="161"/>
              <w:rPr>
                <w:b/>
                <w:bCs/>
                <w:sz w:val="16"/>
                <w:szCs w:val="16"/>
              </w:rPr>
            </w:pPr>
            <w:r w:rsidRPr="001608C4">
              <w:rPr>
                <w:b/>
                <w:bCs/>
                <w:sz w:val="16"/>
                <w:szCs w:val="16"/>
              </w:rPr>
              <w:t>B. SALDO AJUSTADO, INICIO DEL AÑO 2021</w:t>
            </w:r>
          </w:p>
        </w:tc>
        <w:tc>
          <w:tcPr>
            <w:tcW w:w="280" w:type="pct"/>
            <w:tcBorders>
              <w:top w:val="nil"/>
              <w:left w:val="nil"/>
              <w:bottom w:val="nil"/>
              <w:right w:val="single" w:sz="4" w:space="0" w:color="auto"/>
            </w:tcBorders>
            <w:shd w:val="clear" w:color="auto" w:fill="auto"/>
            <w:noWrap/>
            <w:vAlign w:val="center"/>
            <w:hideMark/>
          </w:tcPr>
          <w:p w14:paraId="2576FA59"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606EDE3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84F61BC"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386531E7" w14:textId="77777777" w:rsidR="00BE5714" w:rsidRPr="001608C4" w:rsidRDefault="00BE5714" w:rsidP="00BE5714">
            <w:pPr>
              <w:widowControl/>
              <w:autoSpaceDE/>
              <w:autoSpaceDN/>
              <w:adjustRightInd/>
              <w:jc w:val="right"/>
              <w:rPr>
                <w:b/>
                <w:bCs/>
                <w:sz w:val="16"/>
                <w:szCs w:val="16"/>
              </w:rPr>
            </w:pPr>
            <w:r w:rsidRPr="001608C4">
              <w:rPr>
                <w:b/>
                <w:bCs/>
                <w:sz w:val="16"/>
                <w:szCs w:val="16"/>
              </w:rPr>
              <w:t>(441.215,98)</w:t>
            </w:r>
          </w:p>
        </w:tc>
        <w:tc>
          <w:tcPr>
            <w:tcW w:w="280" w:type="pct"/>
            <w:tcBorders>
              <w:top w:val="nil"/>
              <w:left w:val="nil"/>
              <w:bottom w:val="nil"/>
              <w:right w:val="single" w:sz="4" w:space="0" w:color="auto"/>
            </w:tcBorders>
            <w:shd w:val="clear" w:color="auto" w:fill="auto"/>
            <w:noWrap/>
            <w:vAlign w:val="center"/>
            <w:hideMark/>
          </w:tcPr>
          <w:p w14:paraId="1D38452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12C0F781" w14:textId="77777777" w:rsidR="00BE5714" w:rsidRPr="001608C4" w:rsidRDefault="00BE5714" w:rsidP="00BE5714">
            <w:pPr>
              <w:widowControl/>
              <w:autoSpaceDE/>
              <w:autoSpaceDN/>
              <w:adjustRightInd/>
              <w:jc w:val="right"/>
              <w:rPr>
                <w:b/>
                <w:bCs/>
                <w:sz w:val="16"/>
                <w:szCs w:val="16"/>
              </w:rPr>
            </w:pPr>
            <w:r w:rsidRPr="001608C4">
              <w:rPr>
                <w:b/>
                <w:bCs/>
                <w:sz w:val="16"/>
                <w:szCs w:val="16"/>
              </w:rPr>
              <w:t>(96.499,36)</w:t>
            </w:r>
          </w:p>
        </w:tc>
        <w:tc>
          <w:tcPr>
            <w:tcW w:w="280" w:type="pct"/>
            <w:tcBorders>
              <w:top w:val="nil"/>
              <w:left w:val="nil"/>
              <w:bottom w:val="nil"/>
              <w:right w:val="single" w:sz="4" w:space="0" w:color="auto"/>
            </w:tcBorders>
            <w:shd w:val="clear" w:color="auto" w:fill="auto"/>
            <w:noWrap/>
            <w:vAlign w:val="center"/>
            <w:hideMark/>
          </w:tcPr>
          <w:p w14:paraId="0FE3D4A7"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3261B467"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80.192,31 </w:t>
            </w:r>
          </w:p>
        </w:tc>
        <w:tc>
          <w:tcPr>
            <w:tcW w:w="280" w:type="pct"/>
            <w:tcBorders>
              <w:top w:val="nil"/>
              <w:left w:val="nil"/>
              <w:bottom w:val="nil"/>
              <w:right w:val="single" w:sz="4" w:space="0" w:color="auto"/>
            </w:tcBorders>
            <w:shd w:val="clear" w:color="auto" w:fill="auto"/>
            <w:noWrap/>
            <w:vAlign w:val="center"/>
            <w:hideMark/>
          </w:tcPr>
          <w:p w14:paraId="6952B3EC"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24CD632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76611FF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07140FF0"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15.612.273,67 </w:t>
            </w:r>
          </w:p>
        </w:tc>
        <w:tc>
          <w:tcPr>
            <w:tcW w:w="361" w:type="pct"/>
            <w:tcBorders>
              <w:top w:val="nil"/>
              <w:left w:val="nil"/>
              <w:bottom w:val="nil"/>
              <w:right w:val="single" w:sz="4" w:space="0" w:color="auto"/>
            </w:tcBorders>
            <w:shd w:val="clear" w:color="auto" w:fill="auto"/>
            <w:noWrap/>
            <w:vAlign w:val="center"/>
            <w:hideMark/>
          </w:tcPr>
          <w:p w14:paraId="27B42F7F"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17.214.852,64 </w:t>
            </w:r>
          </w:p>
        </w:tc>
      </w:tr>
      <w:tr w:rsidR="00BE5714" w:rsidRPr="001608C4" w14:paraId="6160BAFB"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572CB53"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 Total ingresos y gastos reconocidos.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FEF302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6182676"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78836D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FAD8664"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F09767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9122EF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9A05FA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2882137C" w14:textId="77777777" w:rsidR="00BE5714" w:rsidRPr="001608C4" w:rsidRDefault="00BE5714" w:rsidP="00BE5714">
            <w:pPr>
              <w:widowControl/>
              <w:autoSpaceDE/>
              <w:autoSpaceDN/>
              <w:adjustRightInd/>
              <w:jc w:val="right"/>
              <w:rPr>
                <w:sz w:val="16"/>
                <w:szCs w:val="16"/>
              </w:rPr>
            </w:pPr>
            <w:r w:rsidRPr="001608C4">
              <w:rPr>
                <w:sz w:val="16"/>
                <w:szCs w:val="16"/>
              </w:rPr>
              <w:t xml:space="preserve"> 32.564,19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1324E0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1E7E4B8"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83E249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630E5BBE" w14:textId="77777777" w:rsidR="00BE5714" w:rsidRPr="001608C4" w:rsidRDefault="00BE5714" w:rsidP="00BE5714">
            <w:pPr>
              <w:widowControl/>
              <w:autoSpaceDE/>
              <w:autoSpaceDN/>
              <w:adjustRightInd/>
              <w:jc w:val="right"/>
              <w:rPr>
                <w:sz w:val="16"/>
                <w:szCs w:val="16"/>
              </w:rPr>
            </w:pPr>
            <w:r w:rsidRPr="001608C4">
              <w:rPr>
                <w:sz w:val="16"/>
                <w:szCs w:val="16"/>
              </w:rPr>
              <w:t>(115.189,03)</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8E26C47" w14:textId="77777777" w:rsidR="00BE5714" w:rsidRPr="001608C4" w:rsidRDefault="00BE5714" w:rsidP="00BE5714">
            <w:pPr>
              <w:widowControl/>
              <w:autoSpaceDE/>
              <w:autoSpaceDN/>
              <w:adjustRightInd/>
              <w:jc w:val="right"/>
              <w:rPr>
                <w:sz w:val="16"/>
                <w:szCs w:val="16"/>
              </w:rPr>
            </w:pPr>
            <w:r w:rsidRPr="001608C4">
              <w:rPr>
                <w:sz w:val="16"/>
                <w:szCs w:val="16"/>
              </w:rPr>
              <w:t>(82.624,84)</w:t>
            </w:r>
          </w:p>
        </w:tc>
      </w:tr>
      <w:tr w:rsidR="00BE5714" w:rsidRPr="001608C4" w14:paraId="4CCD9BC3"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6F20B32"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1EA4591A"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1FB0F6B"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378B2E99"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71877C4B"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75B84BD8"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3A428E63"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65D3B9E"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61C4D318"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6E3307C"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4C7ED0C"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4DDC3B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2AA9517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61" w:type="pct"/>
            <w:tcBorders>
              <w:top w:val="nil"/>
              <w:left w:val="nil"/>
              <w:bottom w:val="single" w:sz="4" w:space="0" w:color="auto"/>
              <w:right w:val="single" w:sz="4" w:space="0" w:color="auto"/>
            </w:tcBorders>
            <w:shd w:val="clear" w:color="auto" w:fill="auto"/>
            <w:noWrap/>
            <w:vAlign w:val="center"/>
            <w:hideMark/>
          </w:tcPr>
          <w:p w14:paraId="3CA6245B"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2AD45891" w14:textId="77777777" w:rsidTr="001608C4">
        <w:trPr>
          <w:trHeight w:val="542"/>
        </w:trPr>
        <w:tc>
          <w:tcPr>
            <w:tcW w:w="1198" w:type="pct"/>
            <w:tcBorders>
              <w:top w:val="nil"/>
              <w:left w:val="single" w:sz="4" w:space="0" w:color="auto"/>
              <w:bottom w:val="nil"/>
              <w:right w:val="single" w:sz="4" w:space="0" w:color="auto"/>
            </w:tcBorders>
            <w:shd w:val="clear" w:color="auto" w:fill="auto"/>
            <w:vAlign w:val="center"/>
            <w:hideMark/>
          </w:tcPr>
          <w:p w14:paraId="06DD667A"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1. Aumentos de capital.</w:t>
            </w:r>
          </w:p>
        </w:tc>
        <w:tc>
          <w:tcPr>
            <w:tcW w:w="280" w:type="pct"/>
            <w:tcBorders>
              <w:top w:val="nil"/>
              <w:left w:val="nil"/>
              <w:bottom w:val="nil"/>
              <w:right w:val="nil"/>
            </w:tcBorders>
            <w:shd w:val="clear" w:color="auto" w:fill="auto"/>
            <w:noWrap/>
            <w:vAlign w:val="center"/>
            <w:hideMark/>
          </w:tcPr>
          <w:p w14:paraId="76B1199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03302D7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6A4E210C"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5256C73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662665FF"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A23C49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793AF18F"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6551E71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21A7B94"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D038EAC"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C850EEA"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0799E3D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35C6E88E"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29ED8CFC"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2F56895F"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 xml:space="preserve">2. </w:t>
            </w:r>
            <w:proofErr w:type="gramStart"/>
            <w:r w:rsidRPr="001608C4">
              <w:rPr>
                <w:sz w:val="16"/>
                <w:szCs w:val="16"/>
              </w:rPr>
              <w:t>( -</w:t>
            </w:r>
            <w:proofErr w:type="gramEnd"/>
            <w:r w:rsidRPr="001608C4">
              <w:rPr>
                <w:sz w:val="16"/>
                <w:szCs w:val="16"/>
              </w:rPr>
              <w:t xml:space="preserve"> ) Reducciones de capital.</w:t>
            </w:r>
          </w:p>
        </w:tc>
        <w:tc>
          <w:tcPr>
            <w:tcW w:w="280" w:type="pct"/>
            <w:tcBorders>
              <w:top w:val="nil"/>
              <w:left w:val="single" w:sz="4" w:space="0" w:color="auto"/>
              <w:bottom w:val="nil"/>
              <w:right w:val="nil"/>
            </w:tcBorders>
            <w:shd w:val="clear" w:color="auto" w:fill="auto"/>
            <w:noWrap/>
            <w:vAlign w:val="center"/>
            <w:hideMark/>
          </w:tcPr>
          <w:p w14:paraId="25E0BB0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974F51B"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56EBF1A9"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4A2CCF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649E0123"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C9E7AA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06D41178"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10AECFE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D6BC52A"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4A779EB8"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6A10D71A"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2318ED9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E6092D4"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5E2E66A8"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19465B58"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3. Conversión de pasivos financieros en patrimonio neto (conversión obligaciones, condonaciones de deudas).</w:t>
            </w:r>
          </w:p>
        </w:tc>
        <w:tc>
          <w:tcPr>
            <w:tcW w:w="280" w:type="pct"/>
            <w:tcBorders>
              <w:top w:val="nil"/>
              <w:left w:val="single" w:sz="4" w:space="0" w:color="auto"/>
              <w:bottom w:val="nil"/>
              <w:right w:val="nil"/>
            </w:tcBorders>
            <w:shd w:val="clear" w:color="auto" w:fill="auto"/>
            <w:noWrap/>
            <w:vAlign w:val="center"/>
            <w:hideMark/>
          </w:tcPr>
          <w:p w14:paraId="3B2AF07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7959147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69725139"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61A2E2A1"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40DD1C0C"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7D89BEDD"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86C2191"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57508620"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47365A48"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0B326223"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6EB945C"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36A75761"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4CCFE26E"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4DA2D294"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35252CEC"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lastRenderedPageBreak/>
              <w:t xml:space="preserve">4. </w:t>
            </w:r>
            <w:proofErr w:type="gramStart"/>
            <w:r w:rsidRPr="001608C4">
              <w:rPr>
                <w:sz w:val="16"/>
                <w:szCs w:val="16"/>
              </w:rPr>
              <w:t>( -</w:t>
            </w:r>
            <w:proofErr w:type="gramEnd"/>
            <w:r w:rsidRPr="001608C4">
              <w:rPr>
                <w:sz w:val="16"/>
                <w:szCs w:val="16"/>
              </w:rPr>
              <w:t xml:space="preserve"> ) Distribución de dividendos.</w:t>
            </w:r>
          </w:p>
        </w:tc>
        <w:tc>
          <w:tcPr>
            <w:tcW w:w="280" w:type="pct"/>
            <w:tcBorders>
              <w:top w:val="nil"/>
              <w:left w:val="single" w:sz="4" w:space="0" w:color="auto"/>
              <w:bottom w:val="nil"/>
              <w:right w:val="nil"/>
            </w:tcBorders>
            <w:shd w:val="clear" w:color="auto" w:fill="auto"/>
            <w:noWrap/>
            <w:vAlign w:val="center"/>
            <w:hideMark/>
          </w:tcPr>
          <w:p w14:paraId="6E39372B"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240659D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2B26D32"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213DEF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3F5CC434"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4DFD40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79D537C0"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03C8B79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4637D2A1"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6983BDC"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793D4ACC"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3F6B792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1914CA55"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033C8BB9"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7A755E57"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5. Operaciones con acciones o participaciones propias (netas).</w:t>
            </w:r>
          </w:p>
        </w:tc>
        <w:tc>
          <w:tcPr>
            <w:tcW w:w="280" w:type="pct"/>
            <w:tcBorders>
              <w:top w:val="nil"/>
              <w:left w:val="single" w:sz="4" w:space="0" w:color="auto"/>
              <w:bottom w:val="nil"/>
              <w:right w:val="nil"/>
            </w:tcBorders>
            <w:shd w:val="clear" w:color="auto" w:fill="auto"/>
            <w:noWrap/>
            <w:vAlign w:val="center"/>
            <w:hideMark/>
          </w:tcPr>
          <w:p w14:paraId="03B12300"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D985FFC"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9A72E1A"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DA04FF8"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4A28C398"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18E48AA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2A7890D"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40417889"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AB9FE2E"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3C58FF7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3D4CEFB0"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4B941804"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B6A2C92"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04EA03CD"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44C8F1E7"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6. Incremento (reducción) de patrimonio neto resultante de una combinación de negocios.</w:t>
            </w:r>
          </w:p>
        </w:tc>
        <w:tc>
          <w:tcPr>
            <w:tcW w:w="280" w:type="pct"/>
            <w:tcBorders>
              <w:top w:val="nil"/>
              <w:left w:val="single" w:sz="4" w:space="0" w:color="auto"/>
              <w:bottom w:val="nil"/>
              <w:right w:val="nil"/>
            </w:tcBorders>
            <w:shd w:val="clear" w:color="auto" w:fill="auto"/>
            <w:noWrap/>
            <w:vAlign w:val="center"/>
            <w:hideMark/>
          </w:tcPr>
          <w:p w14:paraId="6BF4FF83"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nil"/>
              <w:right w:val="single" w:sz="4" w:space="0" w:color="auto"/>
            </w:tcBorders>
            <w:shd w:val="clear" w:color="auto" w:fill="auto"/>
            <w:noWrap/>
            <w:vAlign w:val="center"/>
            <w:hideMark/>
          </w:tcPr>
          <w:p w14:paraId="30FB3835"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30A80739"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nil"/>
              <w:right w:val="single" w:sz="4" w:space="0" w:color="auto"/>
            </w:tcBorders>
            <w:shd w:val="clear" w:color="auto" w:fill="auto"/>
            <w:noWrap/>
            <w:vAlign w:val="center"/>
            <w:hideMark/>
          </w:tcPr>
          <w:p w14:paraId="3929D180"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456F365"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66C41FA3"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0CFEA807"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nil"/>
              <w:right w:val="single" w:sz="4" w:space="0" w:color="auto"/>
            </w:tcBorders>
            <w:shd w:val="clear" w:color="auto" w:fill="auto"/>
            <w:noWrap/>
            <w:vAlign w:val="center"/>
            <w:hideMark/>
          </w:tcPr>
          <w:p w14:paraId="2080D908"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0A12BC23"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nil"/>
              <w:right w:val="single" w:sz="4" w:space="0" w:color="auto"/>
            </w:tcBorders>
            <w:shd w:val="clear" w:color="auto" w:fill="auto"/>
            <w:noWrap/>
            <w:vAlign w:val="center"/>
            <w:hideMark/>
          </w:tcPr>
          <w:p w14:paraId="0BC82EFC"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19BF29BA"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nil"/>
              <w:right w:val="single" w:sz="4" w:space="0" w:color="auto"/>
            </w:tcBorders>
            <w:shd w:val="clear" w:color="auto" w:fill="auto"/>
            <w:noWrap/>
            <w:vAlign w:val="center"/>
            <w:hideMark/>
          </w:tcPr>
          <w:p w14:paraId="55B0968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28C2165"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736057BF" w14:textId="77777777" w:rsidTr="001608C4">
        <w:trPr>
          <w:trHeight w:val="542"/>
        </w:trPr>
        <w:tc>
          <w:tcPr>
            <w:tcW w:w="1198" w:type="pct"/>
            <w:tcBorders>
              <w:top w:val="nil"/>
              <w:left w:val="single" w:sz="4" w:space="0" w:color="auto"/>
              <w:bottom w:val="single" w:sz="4" w:space="0" w:color="auto"/>
              <w:right w:val="nil"/>
            </w:tcBorders>
            <w:shd w:val="clear" w:color="auto" w:fill="auto"/>
            <w:vAlign w:val="center"/>
            <w:hideMark/>
          </w:tcPr>
          <w:p w14:paraId="20A0765D"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7. Otras operaciones con socios o propietarios.</w:t>
            </w:r>
          </w:p>
        </w:tc>
        <w:tc>
          <w:tcPr>
            <w:tcW w:w="280" w:type="pct"/>
            <w:tcBorders>
              <w:top w:val="nil"/>
              <w:left w:val="single" w:sz="4" w:space="0" w:color="auto"/>
              <w:bottom w:val="nil"/>
              <w:right w:val="nil"/>
            </w:tcBorders>
            <w:shd w:val="clear" w:color="auto" w:fill="auto"/>
            <w:noWrap/>
            <w:vAlign w:val="center"/>
            <w:hideMark/>
          </w:tcPr>
          <w:p w14:paraId="46E98BAD"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08A0470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07D20049" w14:textId="77777777" w:rsidR="00BE5714" w:rsidRPr="001608C4" w:rsidRDefault="00BE5714" w:rsidP="00BE5714">
            <w:pPr>
              <w:widowControl/>
              <w:autoSpaceDE/>
              <w:autoSpaceDN/>
              <w:adjustRightInd/>
              <w:jc w:val="right"/>
              <w:rPr>
                <w:sz w:val="16"/>
                <w:szCs w:val="16"/>
              </w:rPr>
            </w:pP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1E61A618"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232DBBB1"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2C86280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31BA6D42" w14:textId="77777777" w:rsidR="00BE5714" w:rsidRPr="001608C4" w:rsidRDefault="00BE5714" w:rsidP="00BE5714">
            <w:pPr>
              <w:widowControl/>
              <w:autoSpaceDE/>
              <w:autoSpaceDN/>
              <w:adjustRightInd/>
              <w:jc w:val="right"/>
              <w:rPr>
                <w:sz w:val="16"/>
                <w:szCs w:val="16"/>
              </w:rPr>
            </w:pPr>
          </w:p>
        </w:tc>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7FE5936"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53B15D75" w14:textId="77777777" w:rsidR="00BE5714" w:rsidRPr="001608C4" w:rsidRDefault="00BE5714" w:rsidP="00BE5714">
            <w:pPr>
              <w:widowControl/>
              <w:autoSpaceDE/>
              <w:autoSpaceDN/>
              <w:adjustRightInd/>
              <w:jc w:val="right"/>
              <w:rPr>
                <w:sz w:val="16"/>
                <w:szCs w:val="16"/>
              </w:rPr>
            </w:pPr>
          </w:p>
        </w:tc>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565B4079"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nil"/>
              <w:right w:val="nil"/>
            </w:tcBorders>
            <w:shd w:val="clear" w:color="auto" w:fill="auto"/>
            <w:noWrap/>
            <w:vAlign w:val="center"/>
            <w:hideMark/>
          </w:tcPr>
          <w:p w14:paraId="05C53C2D" w14:textId="77777777" w:rsidR="00BE5714" w:rsidRPr="001608C4" w:rsidRDefault="00BE5714" w:rsidP="00BE5714">
            <w:pPr>
              <w:widowControl/>
              <w:autoSpaceDE/>
              <w:autoSpaceDN/>
              <w:adjustRightInd/>
              <w:jc w:val="right"/>
              <w:rPr>
                <w:sz w:val="16"/>
                <w:szCs w:val="16"/>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AA2322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3B6A2D80"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762A0691"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21328D5"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III. Otras variaciones del patrimonio neto.</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4124354"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BADC01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3AEEC4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08AB22EF" w14:textId="77777777" w:rsidR="00BE5714" w:rsidRPr="001608C4" w:rsidRDefault="00BE5714" w:rsidP="00BE5714">
            <w:pPr>
              <w:widowControl/>
              <w:autoSpaceDE/>
              <w:autoSpaceDN/>
              <w:adjustRightInd/>
              <w:jc w:val="right"/>
              <w:rPr>
                <w:sz w:val="16"/>
                <w:szCs w:val="16"/>
              </w:rPr>
            </w:pPr>
            <w:r w:rsidRPr="001608C4">
              <w:rPr>
                <w:sz w:val="16"/>
                <w:szCs w:val="16"/>
              </w:rPr>
              <w:t>(42.541,78)</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2867D4B6"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2581233" w14:textId="77777777" w:rsidR="00BE5714" w:rsidRPr="001608C4" w:rsidRDefault="00BE5714" w:rsidP="00BE5714">
            <w:pPr>
              <w:widowControl/>
              <w:autoSpaceDE/>
              <w:autoSpaceDN/>
              <w:adjustRightInd/>
              <w:jc w:val="right"/>
              <w:rPr>
                <w:sz w:val="16"/>
                <w:szCs w:val="16"/>
              </w:rPr>
            </w:pPr>
            <w:r w:rsidRPr="001608C4">
              <w:rPr>
                <w:sz w:val="16"/>
                <w:szCs w:val="16"/>
              </w:rPr>
              <w:t xml:space="preserve"> 80.192,31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7BEFE53"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752FA126" w14:textId="77777777" w:rsidR="00BE5714" w:rsidRPr="001608C4" w:rsidRDefault="00BE5714" w:rsidP="00BE5714">
            <w:pPr>
              <w:widowControl/>
              <w:autoSpaceDE/>
              <w:autoSpaceDN/>
              <w:adjustRightInd/>
              <w:jc w:val="right"/>
              <w:rPr>
                <w:sz w:val="16"/>
                <w:szCs w:val="16"/>
              </w:rPr>
            </w:pPr>
            <w:r w:rsidRPr="001608C4">
              <w:rPr>
                <w:sz w:val="16"/>
                <w:szCs w:val="16"/>
              </w:rPr>
              <w:t>(80.192,31)</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F461754"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F9DA56"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23A19DD"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9FF209C" w14:textId="77777777" w:rsidR="00BE5714" w:rsidRPr="001608C4" w:rsidRDefault="00BE5714" w:rsidP="00BE5714">
            <w:pPr>
              <w:widowControl/>
              <w:autoSpaceDE/>
              <w:autoSpaceDN/>
              <w:adjustRightInd/>
              <w:jc w:val="right"/>
              <w:rPr>
                <w:sz w:val="16"/>
                <w:szCs w:val="16"/>
              </w:rPr>
            </w:pPr>
            <w:r w:rsidRPr="001608C4">
              <w:rPr>
                <w:sz w:val="16"/>
                <w:szCs w:val="16"/>
              </w:rPr>
              <w:t xml:space="preserve"> 326,73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B92B4AB" w14:textId="77777777" w:rsidR="00BE5714" w:rsidRPr="001608C4" w:rsidRDefault="00BE5714" w:rsidP="00BE5714">
            <w:pPr>
              <w:widowControl/>
              <w:autoSpaceDE/>
              <w:autoSpaceDN/>
              <w:adjustRightInd/>
              <w:jc w:val="right"/>
              <w:rPr>
                <w:sz w:val="16"/>
                <w:szCs w:val="16"/>
              </w:rPr>
            </w:pPr>
            <w:r w:rsidRPr="001608C4">
              <w:rPr>
                <w:sz w:val="16"/>
                <w:szCs w:val="16"/>
              </w:rPr>
              <w:t>(42.215,05)</w:t>
            </w:r>
          </w:p>
        </w:tc>
      </w:tr>
      <w:tr w:rsidR="00BE5714" w:rsidRPr="001608C4" w14:paraId="1DC3D366"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54AF205" w14:textId="77777777" w:rsidR="00BE5714" w:rsidRPr="001608C4" w:rsidRDefault="00BE5714" w:rsidP="00BE5714">
            <w:pPr>
              <w:widowControl/>
              <w:autoSpaceDE/>
              <w:autoSpaceDN/>
              <w:adjustRightInd/>
              <w:ind w:firstLineChars="100" w:firstLine="161"/>
              <w:rPr>
                <w:b/>
                <w:bCs/>
                <w:sz w:val="16"/>
                <w:szCs w:val="16"/>
              </w:rPr>
            </w:pPr>
            <w:r w:rsidRPr="001608C4">
              <w:rPr>
                <w:b/>
                <w:bCs/>
                <w:sz w:val="16"/>
                <w:szCs w:val="16"/>
              </w:rPr>
              <w:t>C. SALDO, FINAL DEL AÑO 2021</w:t>
            </w:r>
          </w:p>
        </w:tc>
        <w:tc>
          <w:tcPr>
            <w:tcW w:w="280" w:type="pct"/>
            <w:tcBorders>
              <w:top w:val="nil"/>
              <w:left w:val="nil"/>
              <w:bottom w:val="nil"/>
              <w:right w:val="single" w:sz="4" w:space="0" w:color="auto"/>
            </w:tcBorders>
            <w:shd w:val="clear" w:color="auto" w:fill="auto"/>
            <w:noWrap/>
            <w:vAlign w:val="center"/>
            <w:hideMark/>
          </w:tcPr>
          <w:p w14:paraId="673381B5"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3E03D911"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4AB32A0"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26C1E89C" w14:textId="77777777" w:rsidR="00BE5714" w:rsidRPr="001608C4" w:rsidRDefault="00BE5714" w:rsidP="00BE5714">
            <w:pPr>
              <w:widowControl/>
              <w:autoSpaceDE/>
              <w:autoSpaceDN/>
              <w:adjustRightInd/>
              <w:jc w:val="right"/>
              <w:rPr>
                <w:b/>
                <w:bCs/>
                <w:sz w:val="16"/>
                <w:szCs w:val="16"/>
              </w:rPr>
            </w:pPr>
            <w:r w:rsidRPr="001608C4">
              <w:rPr>
                <w:b/>
                <w:bCs/>
                <w:sz w:val="16"/>
                <w:szCs w:val="16"/>
              </w:rPr>
              <w:t>(483.757,76)</w:t>
            </w:r>
          </w:p>
        </w:tc>
        <w:tc>
          <w:tcPr>
            <w:tcW w:w="280" w:type="pct"/>
            <w:tcBorders>
              <w:top w:val="nil"/>
              <w:left w:val="nil"/>
              <w:bottom w:val="nil"/>
              <w:right w:val="single" w:sz="4" w:space="0" w:color="auto"/>
            </w:tcBorders>
            <w:shd w:val="clear" w:color="auto" w:fill="auto"/>
            <w:noWrap/>
            <w:vAlign w:val="center"/>
            <w:hideMark/>
          </w:tcPr>
          <w:p w14:paraId="7805834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06896BF9" w14:textId="77777777" w:rsidR="00BE5714" w:rsidRPr="001608C4" w:rsidRDefault="00BE5714" w:rsidP="00BE5714">
            <w:pPr>
              <w:widowControl/>
              <w:autoSpaceDE/>
              <w:autoSpaceDN/>
              <w:adjustRightInd/>
              <w:jc w:val="right"/>
              <w:rPr>
                <w:b/>
                <w:bCs/>
                <w:sz w:val="16"/>
                <w:szCs w:val="16"/>
              </w:rPr>
            </w:pPr>
            <w:r w:rsidRPr="001608C4">
              <w:rPr>
                <w:b/>
                <w:bCs/>
                <w:sz w:val="16"/>
                <w:szCs w:val="16"/>
              </w:rPr>
              <w:t>(16.307,05)</w:t>
            </w:r>
          </w:p>
        </w:tc>
        <w:tc>
          <w:tcPr>
            <w:tcW w:w="280" w:type="pct"/>
            <w:tcBorders>
              <w:top w:val="nil"/>
              <w:left w:val="nil"/>
              <w:bottom w:val="nil"/>
              <w:right w:val="single" w:sz="4" w:space="0" w:color="auto"/>
            </w:tcBorders>
            <w:shd w:val="clear" w:color="auto" w:fill="auto"/>
            <w:noWrap/>
            <w:vAlign w:val="center"/>
            <w:hideMark/>
          </w:tcPr>
          <w:p w14:paraId="60FFDFA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53334230"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32.564,19 </w:t>
            </w:r>
          </w:p>
        </w:tc>
        <w:tc>
          <w:tcPr>
            <w:tcW w:w="280" w:type="pct"/>
            <w:tcBorders>
              <w:top w:val="nil"/>
              <w:left w:val="nil"/>
              <w:bottom w:val="nil"/>
              <w:right w:val="single" w:sz="4" w:space="0" w:color="auto"/>
            </w:tcBorders>
            <w:shd w:val="clear" w:color="auto" w:fill="auto"/>
            <w:noWrap/>
            <w:vAlign w:val="center"/>
            <w:hideMark/>
          </w:tcPr>
          <w:p w14:paraId="707EFA5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2569958"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F45B895"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10C71063"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15.497.411,37 </w:t>
            </w:r>
          </w:p>
        </w:tc>
        <w:tc>
          <w:tcPr>
            <w:tcW w:w="361" w:type="pct"/>
            <w:tcBorders>
              <w:top w:val="nil"/>
              <w:left w:val="nil"/>
              <w:bottom w:val="nil"/>
              <w:right w:val="single" w:sz="4" w:space="0" w:color="auto"/>
            </w:tcBorders>
            <w:shd w:val="clear" w:color="auto" w:fill="auto"/>
            <w:noWrap/>
            <w:vAlign w:val="center"/>
            <w:hideMark/>
          </w:tcPr>
          <w:p w14:paraId="3FCC5ACA"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17.090.012,75 </w:t>
            </w:r>
          </w:p>
        </w:tc>
      </w:tr>
      <w:tr w:rsidR="00BE5714" w:rsidRPr="001608C4" w14:paraId="3F18BBDD"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C91A5A0"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 Ajustes por cambios de criterio 2021</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A8BE674"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414EFBE"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23E32C1"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72DCAB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2C6959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76583DF"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C80B676"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50E4AC6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FB6B598"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F6181A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AB8B49E"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4AF60B62"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C1F7D5A"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5D4F77D7"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2EBE2C8"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 Ajustes por errores 2021</w:t>
            </w:r>
          </w:p>
        </w:tc>
        <w:tc>
          <w:tcPr>
            <w:tcW w:w="280" w:type="pct"/>
            <w:tcBorders>
              <w:top w:val="nil"/>
              <w:left w:val="nil"/>
              <w:bottom w:val="single" w:sz="4" w:space="0" w:color="auto"/>
              <w:right w:val="single" w:sz="4" w:space="0" w:color="auto"/>
            </w:tcBorders>
            <w:shd w:val="clear" w:color="auto" w:fill="auto"/>
            <w:noWrap/>
            <w:vAlign w:val="center"/>
            <w:hideMark/>
          </w:tcPr>
          <w:p w14:paraId="1E67CFC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F9BA758"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16F9377"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1079146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011450F"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193116B"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20FD57F"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347E0F4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31CE739"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6DF71C0"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51BB475"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32E6C0F3"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5984F8F3"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5A122B0F"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CB54CB8" w14:textId="77777777" w:rsidR="00BE5714" w:rsidRPr="001608C4" w:rsidRDefault="00BE5714" w:rsidP="00BE5714">
            <w:pPr>
              <w:widowControl/>
              <w:autoSpaceDE/>
              <w:autoSpaceDN/>
              <w:adjustRightInd/>
              <w:ind w:firstLineChars="100" w:firstLine="161"/>
              <w:rPr>
                <w:b/>
                <w:bCs/>
                <w:sz w:val="16"/>
                <w:szCs w:val="16"/>
              </w:rPr>
            </w:pPr>
            <w:r w:rsidRPr="001608C4">
              <w:rPr>
                <w:b/>
                <w:bCs/>
                <w:sz w:val="16"/>
                <w:szCs w:val="16"/>
              </w:rPr>
              <w:t>D. SALDO AJUSTADO, INICIO DEL AÑO 2022</w:t>
            </w:r>
          </w:p>
        </w:tc>
        <w:tc>
          <w:tcPr>
            <w:tcW w:w="280" w:type="pct"/>
            <w:tcBorders>
              <w:top w:val="nil"/>
              <w:left w:val="nil"/>
              <w:bottom w:val="nil"/>
              <w:right w:val="single" w:sz="4" w:space="0" w:color="auto"/>
            </w:tcBorders>
            <w:shd w:val="clear" w:color="auto" w:fill="auto"/>
            <w:noWrap/>
            <w:vAlign w:val="center"/>
            <w:hideMark/>
          </w:tcPr>
          <w:p w14:paraId="624D11F9"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2.060.102,00 </w:t>
            </w:r>
          </w:p>
        </w:tc>
        <w:tc>
          <w:tcPr>
            <w:tcW w:w="280" w:type="pct"/>
            <w:tcBorders>
              <w:top w:val="nil"/>
              <w:left w:val="nil"/>
              <w:bottom w:val="nil"/>
              <w:right w:val="single" w:sz="4" w:space="0" w:color="auto"/>
            </w:tcBorders>
            <w:shd w:val="clear" w:color="auto" w:fill="auto"/>
            <w:noWrap/>
            <w:vAlign w:val="center"/>
            <w:hideMark/>
          </w:tcPr>
          <w:p w14:paraId="41B76336"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3365DBB8"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7" w:type="pct"/>
            <w:tcBorders>
              <w:top w:val="nil"/>
              <w:left w:val="nil"/>
              <w:bottom w:val="nil"/>
              <w:right w:val="single" w:sz="4" w:space="0" w:color="auto"/>
            </w:tcBorders>
            <w:shd w:val="clear" w:color="auto" w:fill="auto"/>
            <w:noWrap/>
            <w:vAlign w:val="center"/>
            <w:hideMark/>
          </w:tcPr>
          <w:p w14:paraId="65AAF829" w14:textId="77777777" w:rsidR="00BE5714" w:rsidRPr="001608C4" w:rsidRDefault="00BE5714" w:rsidP="00BE5714">
            <w:pPr>
              <w:widowControl/>
              <w:autoSpaceDE/>
              <w:autoSpaceDN/>
              <w:adjustRightInd/>
              <w:jc w:val="right"/>
              <w:rPr>
                <w:b/>
                <w:bCs/>
                <w:sz w:val="16"/>
                <w:szCs w:val="16"/>
              </w:rPr>
            </w:pPr>
            <w:r w:rsidRPr="001608C4">
              <w:rPr>
                <w:b/>
                <w:bCs/>
                <w:sz w:val="16"/>
                <w:szCs w:val="16"/>
              </w:rPr>
              <w:t>(483.757,76)</w:t>
            </w:r>
          </w:p>
        </w:tc>
        <w:tc>
          <w:tcPr>
            <w:tcW w:w="280" w:type="pct"/>
            <w:tcBorders>
              <w:top w:val="nil"/>
              <w:left w:val="nil"/>
              <w:bottom w:val="nil"/>
              <w:right w:val="single" w:sz="4" w:space="0" w:color="auto"/>
            </w:tcBorders>
            <w:shd w:val="clear" w:color="auto" w:fill="auto"/>
            <w:noWrap/>
            <w:vAlign w:val="center"/>
            <w:hideMark/>
          </w:tcPr>
          <w:p w14:paraId="6AFF205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5887EB6A" w14:textId="77777777" w:rsidR="00BE5714" w:rsidRPr="001608C4" w:rsidRDefault="00BE5714" w:rsidP="00BE5714">
            <w:pPr>
              <w:widowControl/>
              <w:autoSpaceDE/>
              <w:autoSpaceDN/>
              <w:adjustRightInd/>
              <w:jc w:val="right"/>
              <w:rPr>
                <w:b/>
                <w:bCs/>
                <w:sz w:val="16"/>
                <w:szCs w:val="16"/>
              </w:rPr>
            </w:pPr>
            <w:r w:rsidRPr="001608C4">
              <w:rPr>
                <w:b/>
                <w:bCs/>
                <w:sz w:val="16"/>
                <w:szCs w:val="16"/>
              </w:rPr>
              <w:t>(16.307,05)</w:t>
            </w:r>
          </w:p>
        </w:tc>
        <w:tc>
          <w:tcPr>
            <w:tcW w:w="280" w:type="pct"/>
            <w:tcBorders>
              <w:top w:val="nil"/>
              <w:left w:val="nil"/>
              <w:bottom w:val="nil"/>
              <w:right w:val="single" w:sz="4" w:space="0" w:color="auto"/>
            </w:tcBorders>
            <w:shd w:val="clear" w:color="auto" w:fill="auto"/>
            <w:noWrap/>
            <w:vAlign w:val="center"/>
            <w:hideMark/>
          </w:tcPr>
          <w:p w14:paraId="715F24A3"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3" w:type="pct"/>
            <w:tcBorders>
              <w:top w:val="nil"/>
              <w:left w:val="nil"/>
              <w:bottom w:val="nil"/>
              <w:right w:val="single" w:sz="4" w:space="0" w:color="auto"/>
            </w:tcBorders>
            <w:shd w:val="clear" w:color="auto" w:fill="auto"/>
            <w:noWrap/>
            <w:vAlign w:val="center"/>
            <w:hideMark/>
          </w:tcPr>
          <w:p w14:paraId="6A0D66F7"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32.564,19 </w:t>
            </w:r>
          </w:p>
        </w:tc>
        <w:tc>
          <w:tcPr>
            <w:tcW w:w="280" w:type="pct"/>
            <w:tcBorders>
              <w:top w:val="nil"/>
              <w:left w:val="nil"/>
              <w:bottom w:val="nil"/>
              <w:right w:val="single" w:sz="4" w:space="0" w:color="auto"/>
            </w:tcBorders>
            <w:shd w:val="clear" w:color="auto" w:fill="auto"/>
            <w:noWrap/>
            <w:vAlign w:val="center"/>
            <w:hideMark/>
          </w:tcPr>
          <w:p w14:paraId="1F340559"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29BDE539"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nil"/>
              <w:right w:val="single" w:sz="4" w:space="0" w:color="auto"/>
            </w:tcBorders>
            <w:shd w:val="clear" w:color="auto" w:fill="auto"/>
            <w:noWrap/>
            <w:vAlign w:val="center"/>
            <w:hideMark/>
          </w:tcPr>
          <w:p w14:paraId="750F96E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8" w:type="pct"/>
            <w:tcBorders>
              <w:top w:val="nil"/>
              <w:left w:val="nil"/>
              <w:bottom w:val="nil"/>
              <w:right w:val="single" w:sz="4" w:space="0" w:color="auto"/>
            </w:tcBorders>
            <w:shd w:val="clear" w:color="auto" w:fill="auto"/>
            <w:noWrap/>
            <w:vAlign w:val="center"/>
            <w:hideMark/>
          </w:tcPr>
          <w:p w14:paraId="721CAB33"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15.497.411,37 </w:t>
            </w:r>
          </w:p>
        </w:tc>
        <w:tc>
          <w:tcPr>
            <w:tcW w:w="361" w:type="pct"/>
            <w:tcBorders>
              <w:top w:val="nil"/>
              <w:left w:val="nil"/>
              <w:bottom w:val="nil"/>
              <w:right w:val="single" w:sz="4" w:space="0" w:color="auto"/>
            </w:tcBorders>
            <w:shd w:val="clear" w:color="auto" w:fill="auto"/>
            <w:noWrap/>
            <w:vAlign w:val="center"/>
            <w:hideMark/>
          </w:tcPr>
          <w:p w14:paraId="50E0C5D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17.090.012,75 </w:t>
            </w:r>
          </w:p>
        </w:tc>
      </w:tr>
      <w:tr w:rsidR="00BE5714" w:rsidRPr="001608C4" w14:paraId="65CD4740"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60ABE83"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 Total ingresos y gastos reconocidos.</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653B55D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05835E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318A5E0"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3A05CB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5A129AB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6C7744B"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7CC5321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41F9C2F" w14:textId="77777777" w:rsidR="00BE5714" w:rsidRPr="001608C4" w:rsidRDefault="00BE5714" w:rsidP="00BE5714">
            <w:pPr>
              <w:widowControl/>
              <w:autoSpaceDE/>
              <w:autoSpaceDN/>
              <w:adjustRightInd/>
              <w:jc w:val="right"/>
              <w:rPr>
                <w:sz w:val="16"/>
                <w:szCs w:val="16"/>
              </w:rPr>
            </w:pPr>
            <w:r w:rsidRPr="001608C4">
              <w:rPr>
                <w:sz w:val="16"/>
                <w:szCs w:val="16"/>
              </w:rPr>
              <w:t>(1.612.098,92)</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3BB78C6B"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0B92BA71"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1707452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0CF51402" w14:textId="77777777" w:rsidR="00BE5714" w:rsidRPr="001608C4" w:rsidRDefault="00BE5714" w:rsidP="00BE5714">
            <w:pPr>
              <w:widowControl/>
              <w:autoSpaceDE/>
              <w:autoSpaceDN/>
              <w:adjustRightInd/>
              <w:jc w:val="right"/>
              <w:rPr>
                <w:sz w:val="16"/>
                <w:szCs w:val="16"/>
              </w:rPr>
            </w:pPr>
            <w:r w:rsidRPr="001608C4">
              <w:rPr>
                <w:sz w:val="16"/>
                <w:szCs w:val="16"/>
              </w:rPr>
              <w:t>(115.189,03)</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10D4999" w14:textId="77777777" w:rsidR="00BE5714" w:rsidRPr="001608C4" w:rsidRDefault="00BE5714" w:rsidP="00BE5714">
            <w:pPr>
              <w:widowControl/>
              <w:autoSpaceDE/>
              <w:autoSpaceDN/>
              <w:adjustRightInd/>
              <w:jc w:val="right"/>
              <w:rPr>
                <w:sz w:val="16"/>
                <w:szCs w:val="16"/>
              </w:rPr>
            </w:pPr>
            <w:r w:rsidRPr="001608C4">
              <w:rPr>
                <w:sz w:val="16"/>
                <w:szCs w:val="16"/>
              </w:rPr>
              <w:t>(1.727.287,95)</w:t>
            </w:r>
          </w:p>
        </w:tc>
      </w:tr>
      <w:tr w:rsidR="00BE5714" w:rsidRPr="001608C4" w14:paraId="5A507624"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F3345D5"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3D0ABF37"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60567BB8"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70D51A68"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3A62FC72"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27B7437"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5260A7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F6B6E3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476F0FD0"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ABE796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48433769"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55B18153"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15BB2040"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c>
          <w:tcPr>
            <w:tcW w:w="361" w:type="pct"/>
            <w:tcBorders>
              <w:top w:val="nil"/>
              <w:left w:val="nil"/>
              <w:bottom w:val="single" w:sz="4" w:space="0" w:color="auto"/>
              <w:right w:val="single" w:sz="4" w:space="0" w:color="auto"/>
            </w:tcBorders>
            <w:shd w:val="clear" w:color="auto" w:fill="auto"/>
            <w:noWrap/>
            <w:vAlign w:val="center"/>
            <w:hideMark/>
          </w:tcPr>
          <w:p w14:paraId="46D0FB96"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6DF8360D"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5BD13C50"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1. Aumentos de capital.</w:t>
            </w:r>
          </w:p>
        </w:tc>
        <w:tc>
          <w:tcPr>
            <w:tcW w:w="280" w:type="pct"/>
            <w:tcBorders>
              <w:top w:val="nil"/>
              <w:left w:val="single" w:sz="4" w:space="0" w:color="auto"/>
              <w:bottom w:val="nil"/>
              <w:right w:val="single" w:sz="4" w:space="0" w:color="auto"/>
            </w:tcBorders>
            <w:shd w:val="clear" w:color="auto" w:fill="auto"/>
            <w:noWrap/>
            <w:vAlign w:val="center"/>
            <w:hideMark/>
          </w:tcPr>
          <w:p w14:paraId="05039EDC"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6F21092"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F72A926"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2CCFF73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14CB03C"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611B5CE"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07868AA"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065430E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6E3E98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082A5F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F25472D"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14285268"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69EE1713"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40BF794D"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663E7E1E"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 xml:space="preserve">2. </w:t>
            </w:r>
            <w:proofErr w:type="gramStart"/>
            <w:r w:rsidRPr="001608C4">
              <w:rPr>
                <w:sz w:val="16"/>
                <w:szCs w:val="16"/>
              </w:rPr>
              <w:t>( -</w:t>
            </w:r>
            <w:proofErr w:type="gramEnd"/>
            <w:r w:rsidRPr="001608C4">
              <w:rPr>
                <w:sz w:val="16"/>
                <w:szCs w:val="16"/>
              </w:rPr>
              <w:t xml:space="preserve"> ) Reducciones de capital.</w:t>
            </w:r>
          </w:p>
        </w:tc>
        <w:tc>
          <w:tcPr>
            <w:tcW w:w="280" w:type="pct"/>
            <w:tcBorders>
              <w:top w:val="nil"/>
              <w:left w:val="single" w:sz="4" w:space="0" w:color="auto"/>
              <w:bottom w:val="nil"/>
              <w:right w:val="single" w:sz="4" w:space="0" w:color="auto"/>
            </w:tcBorders>
            <w:shd w:val="clear" w:color="auto" w:fill="auto"/>
            <w:noWrap/>
            <w:vAlign w:val="center"/>
            <w:hideMark/>
          </w:tcPr>
          <w:p w14:paraId="0679263C"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0BC7D6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A239557"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1224D1A5"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98B72C5"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5BEC28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238F859"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3E9C699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18B97FB"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3522EA8"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2D4BEE4"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6AC2531"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51BA615"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597EAD46"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0C9D5A9D"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 xml:space="preserve">3. Conversión de pasivos financieros en patrimonio neto (conversión </w:t>
            </w:r>
            <w:r w:rsidRPr="001608C4">
              <w:rPr>
                <w:sz w:val="16"/>
                <w:szCs w:val="16"/>
              </w:rPr>
              <w:lastRenderedPageBreak/>
              <w:t>obligaciones, condonaciones de deudas).</w:t>
            </w:r>
          </w:p>
        </w:tc>
        <w:tc>
          <w:tcPr>
            <w:tcW w:w="280" w:type="pct"/>
            <w:tcBorders>
              <w:top w:val="nil"/>
              <w:left w:val="single" w:sz="4" w:space="0" w:color="auto"/>
              <w:bottom w:val="nil"/>
              <w:right w:val="single" w:sz="4" w:space="0" w:color="auto"/>
            </w:tcBorders>
            <w:shd w:val="clear" w:color="auto" w:fill="auto"/>
            <w:noWrap/>
            <w:vAlign w:val="center"/>
            <w:hideMark/>
          </w:tcPr>
          <w:p w14:paraId="0BA9F222" w14:textId="77777777" w:rsidR="00BE5714" w:rsidRPr="001608C4" w:rsidRDefault="00BE5714" w:rsidP="00BE5714">
            <w:pPr>
              <w:widowControl/>
              <w:autoSpaceDE/>
              <w:autoSpaceDN/>
              <w:adjustRightInd/>
              <w:rPr>
                <w:sz w:val="16"/>
                <w:szCs w:val="16"/>
              </w:rPr>
            </w:pPr>
            <w:r w:rsidRPr="001608C4">
              <w:rPr>
                <w:sz w:val="16"/>
                <w:szCs w:val="16"/>
              </w:rPr>
              <w:lastRenderedPageBreak/>
              <w:t> </w:t>
            </w:r>
          </w:p>
        </w:tc>
        <w:tc>
          <w:tcPr>
            <w:tcW w:w="280" w:type="pct"/>
            <w:tcBorders>
              <w:top w:val="nil"/>
              <w:left w:val="nil"/>
              <w:bottom w:val="nil"/>
              <w:right w:val="single" w:sz="4" w:space="0" w:color="auto"/>
            </w:tcBorders>
            <w:shd w:val="clear" w:color="auto" w:fill="auto"/>
            <w:noWrap/>
            <w:vAlign w:val="center"/>
            <w:hideMark/>
          </w:tcPr>
          <w:p w14:paraId="11BAC59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539FC87"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5C99B15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F36335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D5BB844"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2B8DCA0"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8F4AA62"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D395DA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CCA807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FAE78C4"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35BF202"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59602BD7"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418036B2"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6BCA2BEC"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 xml:space="preserve">4. </w:t>
            </w:r>
            <w:proofErr w:type="gramStart"/>
            <w:r w:rsidRPr="001608C4">
              <w:rPr>
                <w:sz w:val="16"/>
                <w:szCs w:val="16"/>
              </w:rPr>
              <w:t>( -</w:t>
            </w:r>
            <w:proofErr w:type="gramEnd"/>
            <w:r w:rsidRPr="001608C4">
              <w:rPr>
                <w:sz w:val="16"/>
                <w:szCs w:val="16"/>
              </w:rPr>
              <w:t xml:space="preserve"> ) Distribución de dividendos.</w:t>
            </w:r>
          </w:p>
        </w:tc>
        <w:tc>
          <w:tcPr>
            <w:tcW w:w="280" w:type="pct"/>
            <w:tcBorders>
              <w:top w:val="nil"/>
              <w:left w:val="single" w:sz="4" w:space="0" w:color="auto"/>
              <w:bottom w:val="nil"/>
              <w:right w:val="single" w:sz="4" w:space="0" w:color="auto"/>
            </w:tcBorders>
            <w:shd w:val="clear" w:color="auto" w:fill="auto"/>
            <w:noWrap/>
            <w:vAlign w:val="center"/>
            <w:hideMark/>
          </w:tcPr>
          <w:p w14:paraId="4603E03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DBE6665"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C6AE930"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1C80AEA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FB82850"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6EF460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45E4087"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6EDE478B"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606B8ACB"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8B86BC9"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60BAFEB"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3968C986"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0407FCF7"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5623A0A0"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6EBF0F85"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5. Operaciones con acciones o participaciones propias (netas).</w:t>
            </w:r>
          </w:p>
        </w:tc>
        <w:tc>
          <w:tcPr>
            <w:tcW w:w="280" w:type="pct"/>
            <w:tcBorders>
              <w:top w:val="nil"/>
              <w:left w:val="single" w:sz="4" w:space="0" w:color="auto"/>
              <w:bottom w:val="nil"/>
              <w:right w:val="single" w:sz="4" w:space="0" w:color="auto"/>
            </w:tcBorders>
            <w:shd w:val="clear" w:color="auto" w:fill="auto"/>
            <w:noWrap/>
            <w:vAlign w:val="center"/>
            <w:hideMark/>
          </w:tcPr>
          <w:p w14:paraId="32C35EBF"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C16A1E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5B4EC116"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77524779"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2A8CEF09"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BBAEC54"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D095E55"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B74BA9E"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828342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964FC8E"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239A542"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3885AE5E"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B7F1A5F"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26DC4ED3" w14:textId="77777777" w:rsidTr="001608C4">
        <w:trPr>
          <w:trHeight w:val="542"/>
        </w:trPr>
        <w:tc>
          <w:tcPr>
            <w:tcW w:w="1198" w:type="pct"/>
            <w:tcBorders>
              <w:top w:val="nil"/>
              <w:left w:val="single" w:sz="4" w:space="0" w:color="auto"/>
              <w:bottom w:val="nil"/>
              <w:right w:val="nil"/>
            </w:tcBorders>
            <w:shd w:val="clear" w:color="auto" w:fill="auto"/>
            <w:vAlign w:val="center"/>
            <w:hideMark/>
          </w:tcPr>
          <w:p w14:paraId="2FD60C8B"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6. Incremento (reducción) de patrimonio neto resultante de una combinación de negocios.</w:t>
            </w:r>
          </w:p>
        </w:tc>
        <w:tc>
          <w:tcPr>
            <w:tcW w:w="280" w:type="pct"/>
            <w:tcBorders>
              <w:top w:val="nil"/>
              <w:left w:val="single" w:sz="4" w:space="0" w:color="auto"/>
              <w:bottom w:val="nil"/>
              <w:right w:val="single" w:sz="4" w:space="0" w:color="auto"/>
            </w:tcBorders>
            <w:shd w:val="clear" w:color="auto" w:fill="auto"/>
            <w:noWrap/>
            <w:vAlign w:val="center"/>
            <w:hideMark/>
          </w:tcPr>
          <w:p w14:paraId="41ABF1FC"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C6F20F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4E4FB9EE"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nil"/>
              <w:right w:val="single" w:sz="4" w:space="0" w:color="auto"/>
            </w:tcBorders>
            <w:shd w:val="clear" w:color="auto" w:fill="auto"/>
            <w:noWrap/>
            <w:vAlign w:val="center"/>
            <w:hideMark/>
          </w:tcPr>
          <w:p w14:paraId="639CCD6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117FEDFD"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3D9BE07"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035BF873"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nil"/>
              <w:right w:val="single" w:sz="4" w:space="0" w:color="auto"/>
            </w:tcBorders>
            <w:shd w:val="clear" w:color="auto" w:fill="auto"/>
            <w:noWrap/>
            <w:vAlign w:val="center"/>
            <w:hideMark/>
          </w:tcPr>
          <w:p w14:paraId="7A57087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7EC1836"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3769DA4F"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nil"/>
              <w:right w:val="single" w:sz="4" w:space="0" w:color="auto"/>
            </w:tcBorders>
            <w:shd w:val="clear" w:color="auto" w:fill="auto"/>
            <w:noWrap/>
            <w:vAlign w:val="center"/>
            <w:hideMark/>
          </w:tcPr>
          <w:p w14:paraId="72E8EAED"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nil"/>
              <w:right w:val="single" w:sz="4" w:space="0" w:color="auto"/>
            </w:tcBorders>
            <w:shd w:val="clear" w:color="auto" w:fill="auto"/>
            <w:noWrap/>
            <w:vAlign w:val="center"/>
            <w:hideMark/>
          </w:tcPr>
          <w:p w14:paraId="6C898B51"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nil"/>
              <w:right w:val="single" w:sz="4" w:space="0" w:color="auto"/>
            </w:tcBorders>
            <w:shd w:val="clear" w:color="auto" w:fill="auto"/>
            <w:noWrap/>
            <w:vAlign w:val="center"/>
            <w:hideMark/>
          </w:tcPr>
          <w:p w14:paraId="73B2A120"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0C7CAE12"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CC8B46A" w14:textId="77777777" w:rsidR="00BE5714" w:rsidRPr="001608C4" w:rsidRDefault="00BE5714" w:rsidP="00BE5714">
            <w:pPr>
              <w:widowControl/>
              <w:autoSpaceDE/>
              <w:autoSpaceDN/>
              <w:adjustRightInd/>
              <w:ind w:firstLineChars="400" w:firstLine="640"/>
              <w:rPr>
                <w:sz w:val="16"/>
                <w:szCs w:val="16"/>
              </w:rPr>
            </w:pPr>
            <w:r w:rsidRPr="001608C4">
              <w:rPr>
                <w:sz w:val="16"/>
                <w:szCs w:val="16"/>
              </w:rPr>
              <w:t>7. Otras operaciones con socios o propietarios.</w:t>
            </w:r>
          </w:p>
        </w:tc>
        <w:tc>
          <w:tcPr>
            <w:tcW w:w="280" w:type="pct"/>
            <w:tcBorders>
              <w:top w:val="nil"/>
              <w:left w:val="nil"/>
              <w:bottom w:val="single" w:sz="4" w:space="0" w:color="auto"/>
              <w:right w:val="single" w:sz="4" w:space="0" w:color="auto"/>
            </w:tcBorders>
            <w:shd w:val="clear" w:color="auto" w:fill="auto"/>
            <w:noWrap/>
            <w:vAlign w:val="center"/>
            <w:hideMark/>
          </w:tcPr>
          <w:p w14:paraId="6ABE367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E3BC20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58E6D3D" w14:textId="77777777" w:rsidR="00BE5714" w:rsidRPr="001608C4" w:rsidRDefault="00BE5714" w:rsidP="00BE5714">
            <w:pPr>
              <w:widowControl/>
              <w:autoSpaceDE/>
              <w:autoSpaceDN/>
              <w:adjustRightInd/>
              <w:rPr>
                <w:sz w:val="16"/>
                <w:szCs w:val="16"/>
              </w:rPr>
            </w:pPr>
            <w:r w:rsidRPr="001608C4">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7401A4EF"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2154B0"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FBAEB7B"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0E8BE27" w14:textId="77777777" w:rsidR="00BE5714" w:rsidRPr="001608C4" w:rsidRDefault="00BE5714" w:rsidP="00BE5714">
            <w:pPr>
              <w:widowControl/>
              <w:autoSpaceDE/>
              <w:autoSpaceDN/>
              <w:adjustRightInd/>
              <w:rPr>
                <w:sz w:val="16"/>
                <w:szCs w:val="16"/>
              </w:rPr>
            </w:pPr>
            <w:r w:rsidRPr="001608C4">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1BD3AA4C"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238EE11"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D11CE73" w14:textId="77777777" w:rsidR="00BE5714" w:rsidRPr="001608C4" w:rsidRDefault="00BE5714" w:rsidP="00BE5714">
            <w:pPr>
              <w:widowControl/>
              <w:autoSpaceDE/>
              <w:autoSpaceDN/>
              <w:adjustRightInd/>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F2A0E89" w14:textId="77777777" w:rsidR="00BE5714" w:rsidRPr="001608C4" w:rsidRDefault="00BE5714" w:rsidP="00BE5714">
            <w:pPr>
              <w:widowControl/>
              <w:autoSpaceDE/>
              <w:autoSpaceDN/>
              <w:adjustRightInd/>
              <w:rPr>
                <w:sz w:val="16"/>
                <w:szCs w:val="16"/>
              </w:rPr>
            </w:pPr>
            <w:r w:rsidRPr="001608C4">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7B7C61E0" w14:textId="77777777" w:rsidR="00BE5714" w:rsidRPr="001608C4" w:rsidRDefault="00BE5714" w:rsidP="00BE5714">
            <w:pPr>
              <w:widowControl/>
              <w:autoSpaceDE/>
              <w:autoSpaceDN/>
              <w:adjustRightInd/>
              <w:rPr>
                <w:sz w:val="16"/>
                <w:szCs w:val="16"/>
              </w:rPr>
            </w:pPr>
            <w:r w:rsidRPr="001608C4">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6DC3D2D9" w14:textId="77777777" w:rsidR="00BE5714" w:rsidRPr="001608C4" w:rsidRDefault="00BE5714" w:rsidP="00BE5714">
            <w:pPr>
              <w:widowControl/>
              <w:autoSpaceDE/>
              <w:autoSpaceDN/>
              <w:adjustRightInd/>
              <w:jc w:val="right"/>
              <w:rPr>
                <w:sz w:val="16"/>
                <w:szCs w:val="16"/>
              </w:rPr>
            </w:pPr>
            <w:r w:rsidRPr="001608C4">
              <w:rPr>
                <w:sz w:val="16"/>
                <w:szCs w:val="16"/>
              </w:rPr>
              <w:t>0,00</w:t>
            </w:r>
          </w:p>
        </w:tc>
      </w:tr>
      <w:tr w:rsidR="00BE5714" w:rsidRPr="001608C4" w14:paraId="7A5DC273"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62E96EC" w14:textId="77777777" w:rsidR="00BE5714" w:rsidRPr="001608C4" w:rsidRDefault="00BE5714" w:rsidP="00BE5714">
            <w:pPr>
              <w:widowControl/>
              <w:autoSpaceDE/>
              <w:autoSpaceDN/>
              <w:adjustRightInd/>
              <w:ind w:firstLineChars="200" w:firstLine="320"/>
              <w:rPr>
                <w:sz w:val="16"/>
                <w:szCs w:val="16"/>
              </w:rPr>
            </w:pPr>
            <w:r w:rsidRPr="001608C4">
              <w:rPr>
                <w:sz w:val="16"/>
                <w:szCs w:val="16"/>
              </w:rPr>
              <w:t>III. Otras variaciones del patrimonio neto.</w:t>
            </w:r>
          </w:p>
        </w:tc>
        <w:tc>
          <w:tcPr>
            <w:tcW w:w="280" w:type="pct"/>
            <w:tcBorders>
              <w:top w:val="nil"/>
              <w:left w:val="nil"/>
              <w:bottom w:val="single" w:sz="4" w:space="0" w:color="auto"/>
              <w:right w:val="single" w:sz="4" w:space="0" w:color="auto"/>
            </w:tcBorders>
            <w:shd w:val="clear" w:color="auto" w:fill="auto"/>
            <w:noWrap/>
            <w:vAlign w:val="center"/>
            <w:hideMark/>
          </w:tcPr>
          <w:p w14:paraId="64609FEB"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9E3DF7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60019E3"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14:paraId="2CEE14E0" w14:textId="77777777" w:rsidR="00BE5714" w:rsidRPr="001608C4" w:rsidRDefault="00BE5714" w:rsidP="00BE5714">
            <w:pPr>
              <w:widowControl/>
              <w:autoSpaceDE/>
              <w:autoSpaceDN/>
              <w:adjustRightInd/>
              <w:jc w:val="right"/>
              <w:rPr>
                <w:sz w:val="16"/>
                <w:szCs w:val="16"/>
              </w:rPr>
            </w:pPr>
            <w:r w:rsidRPr="001608C4">
              <w:rPr>
                <w:sz w:val="16"/>
                <w:szCs w:val="16"/>
              </w:rPr>
              <w:t xml:space="preserve"> 16.257,14 </w:t>
            </w:r>
          </w:p>
        </w:tc>
        <w:tc>
          <w:tcPr>
            <w:tcW w:w="280" w:type="pct"/>
            <w:tcBorders>
              <w:top w:val="nil"/>
              <w:left w:val="nil"/>
              <w:bottom w:val="single" w:sz="4" w:space="0" w:color="auto"/>
              <w:right w:val="single" w:sz="4" w:space="0" w:color="auto"/>
            </w:tcBorders>
            <w:shd w:val="clear" w:color="auto" w:fill="auto"/>
            <w:noWrap/>
            <w:vAlign w:val="center"/>
            <w:hideMark/>
          </w:tcPr>
          <w:p w14:paraId="44A38F12"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1B47A22" w14:textId="77777777" w:rsidR="00BE5714" w:rsidRPr="001608C4" w:rsidRDefault="00BE5714" w:rsidP="00BE5714">
            <w:pPr>
              <w:widowControl/>
              <w:autoSpaceDE/>
              <w:autoSpaceDN/>
              <w:adjustRightInd/>
              <w:jc w:val="right"/>
              <w:rPr>
                <w:sz w:val="16"/>
                <w:szCs w:val="16"/>
              </w:rPr>
            </w:pPr>
            <w:r w:rsidRPr="001608C4">
              <w:rPr>
                <w:sz w:val="16"/>
                <w:szCs w:val="16"/>
              </w:rPr>
              <w:t xml:space="preserve"> 16.307,05 </w:t>
            </w:r>
          </w:p>
        </w:tc>
        <w:tc>
          <w:tcPr>
            <w:tcW w:w="280" w:type="pct"/>
            <w:tcBorders>
              <w:top w:val="nil"/>
              <w:left w:val="nil"/>
              <w:bottom w:val="single" w:sz="4" w:space="0" w:color="auto"/>
              <w:right w:val="single" w:sz="4" w:space="0" w:color="auto"/>
            </w:tcBorders>
            <w:shd w:val="clear" w:color="auto" w:fill="auto"/>
            <w:noWrap/>
            <w:vAlign w:val="center"/>
            <w:hideMark/>
          </w:tcPr>
          <w:p w14:paraId="13BE46F7"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13" w:type="pct"/>
            <w:tcBorders>
              <w:top w:val="nil"/>
              <w:left w:val="nil"/>
              <w:bottom w:val="single" w:sz="4" w:space="0" w:color="auto"/>
              <w:right w:val="single" w:sz="4" w:space="0" w:color="auto"/>
            </w:tcBorders>
            <w:shd w:val="clear" w:color="auto" w:fill="auto"/>
            <w:noWrap/>
            <w:vAlign w:val="center"/>
            <w:hideMark/>
          </w:tcPr>
          <w:p w14:paraId="05B538B1" w14:textId="77777777" w:rsidR="00BE5714" w:rsidRPr="001608C4" w:rsidRDefault="00BE5714" w:rsidP="00BE5714">
            <w:pPr>
              <w:widowControl/>
              <w:autoSpaceDE/>
              <w:autoSpaceDN/>
              <w:adjustRightInd/>
              <w:jc w:val="right"/>
              <w:rPr>
                <w:sz w:val="16"/>
                <w:szCs w:val="16"/>
              </w:rPr>
            </w:pPr>
            <w:r w:rsidRPr="001608C4">
              <w:rPr>
                <w:sz w:val="16"/>
                <w:szCs w:val="16"/>
              </w:rPr>
              <w:t>(32.564,19)</w:t>
            </w:r>
          </w:p>
        </w:tc>
        <w:tc>
          <w:tcPr>
            <w:tcW w:w="280" w:type="pct"/>
            <w:tcBorders>
              <w:top w:val="nil"/>
              <w:left w:val="nil"/>
              <w:bottom w:val="single" w:sz="4" w:space="0" w:color="auto"/>
              <w:right w:val="single" w:sz="4" w:space="0" w:color="auto"/>
            </w:tcBorders>
            <w:shd w:val="clear" w:color="auto" w:fill="auto"/>
            <w:noWrap/>
            <w:vAlign w:val="center"/>
            <w:hideMark/>
          </w:tcPr>
          <w:p w14:paraId="144C924E"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895700F"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7F8D25A"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288" w:type="pct"/>
            <w:tcBorders>
              <w:top w:val="nil"/>
              <w:left w:val="nil"/>
              <w:bottom w:val="single" w:sz="4" w:space="0" w:color="auto"/>
              <w:right w:val="single" w:sz="4" w:space="0" w:color="auto"/>
            </w:tcBorders>
            <w:shd w:val="clear" w:color="auto" w:fill="auto"/>
            <w:noWrap/>
            <w:vAlign w:val="center"/>
            <w:hideMark/>
          </w:tcPr>
          <w:p w14:paraId="1FAABDE9" w14:textId="77777777" w:rsidR="00BE5714" w:rsidRPr="001608C4" w:rsidRDefault="00BE5714" w:rsidP="00BE5714">
            <w:pPr>
              <w:widowControl/>
              <w:autoSpaceDE/>
              <w:autoSpaceDN/>
              <w:adjustRightInd/>
              <w:jc w:val="right"/>
              <w:rPr>
                <w:sz w:val="16"/>
                <w:szCs w:val="16"/>
              </w:rPr>
            </w:pPr>
            <w:r w:rsidRPr="001608C4">
              <w:rPr>
                <w:sz w:val="16"/>
                <w:szCs w:val="16"/>
              </w:rPr>
              <w:t> </w:t>
            </w:r>
          </w:p>
        </w:tc>
        <w:tc>
          <w:tcPr>
            <w:tcW w:w="361" w:type="pct"/>
            <w:tcBorders>
              <w:top w:val="nil"/>
              <w:left w:val="nil"/>
              <w:bottom w:val="single" w:sz="4" w:space="0" w:color="auto"/>
              <w:right w:val="single" w:sz="4" w:space="0" w:color="auto"/>
            </w:tcBorders>
            <w:shd w:val="clear" w:color="auto" w:fill="auto"/>
            <w:noWrap/>
            <w:vAlign w:val="center"/>
            <w:hideMark/>
          </w:tcPr>
          <w:p w14:paraId="744446D1" w14:textId="77777777" w:rsidR="00BE5714" w:rsidRPr="001608C4" w:rsidRDefault="00BE5714" w:rsidP="00BE5714">
            <w:pPr>
              <w:widowControl/>
              <w:autoSpaceDE/>
              <w:autoSpaceDN/>
              <w:adjustRightInd/>
              <w:jc w:val="right"/>
              <w:rPr>
                <w:sz w:val="16"/>
                <w:szCs w:val="16"/>
              </w:rPr>
            </w:pPr>
            <w:r w:rsidRPr="001608C4">
              <w:rPr>
                <w:sz w:val="16"/>
                <w:szCs w:val="16"/>
              </w:rPr>
              <w:t xml:space="preserve"> 0,00 </w:t>
            </w:r>
          </w:p>
        </w:tc>
      </w:tr>
      <w:tr w:rsidR="00BE5714" w:rsidRPr="001608C4" w14:paraId="2AEDF486" w14:textId="77777777" w:rsidTr="001608C4">
        <w:trPr>
          <w:trHeight w:val="542"/>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9F99FCC" w14:textId="77777777" w:rsidR="00BE5714" w:rsidRPr="001608C4" w:rsidRDefault="00BE5714" w:rsidP="00BE5714">
            <w:pPr>
              <w:widowControl/>
              <w:autoSpaceDE/>
              <w:autoSpaceDN/>
              <w:adjustRightInd/>
              <w:ind w:firstLineChars="100" w:firstLine="161"/>
              <w:rPr>
                <w:b/>
                <w:bCs/>
                <w:sz w:val="16"/>
                <w:szCs w:val="16"/>
              </w:rPr>
            </w:pPr>
            <w:r w:rsidRPr="001608C4">
              <w:rPr>
                <w:b/>
                <w:bCs/>
                <w:sz w:val="16"/>
                <w:szCs w:val="16"/>
              </w:rPr>
              <w:t>E. SALDO, FINAL DEL AÑO 2022</w:t>
            </w:r>
          </w:p>
        </w:tc>
        <w:tc>
          <w:tcPr>
            <w:tcW w:w="280" w:type="pct"/>
            <w:tcBorders>
              <w:top w:val="nil"/>
              <w:left w:val="nil"/>
              <w:bottom w:val="single" w:sz="4" w:space="0" w:color="auto"/>
              <w:right w:val="single" w:sz="4" w:space="0" w:color="auto"/>
            </w:tcBorders>
            <w:shd w:val="clear" w:color="auto" w:fill="auto"/>
            <w:noWrap/>
            <w:vAlign w:val="center"/>
            <w:hideMark/>
          </w:tcPr>
          <w:p w14:paraId="78745635"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2.060.102,00 </w:t>
            </w:r>
          </w:p>
        </w:tc>
        <w:tc>
          <w:tcPr>
            <w:tcW w:w="280" w:type="pct"/>
            <w:tcBorders>
              <w:top w:val="nil"/>
              <w:left w:val="nil"/>
              <w:bottom w:val="single" w:sz="4" w:space="0" w:color="auto"/>
              <w:right w:val="single" w:sz="4" w:space="0" w:color="auto"/>
            </w:tcBorders>
            <w:shd w:val="clear" w:color="auto" w:fill="auto"/>
            <w:noWrap/>
            <w:vAlign w:val="center"/>
            <w:hideMark/>
          </w:tcPr>
          <w:p w14:paraId="221C2E4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2E276F52"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7" w:type="pct"/>
            <w:tcBorders>
              <w:top w:val="nil"/>
              <w:left w:val="nil"/>
              <w:bottom w:val="single" w:sz="4" w:space="0" w:color="auto"/>
              <w:right w:val="single" w:sz="4" w:space="0" w:color="auto"/>
            </w:tcBorders>
            <w:shd w:val="clear" w:color="auto" w:fill="auto"/>
            <w:noWrap/>
            <w:vAlign w:val="center"/>
            <w:hideMark/>
          </w:tcPr>
          <w:p w14:paraId="39E6725C" w14:textId="77777777" w:rsidR="00BE5714" w:rsidRPr="001608C4" w:rsidRDefault="00BE5714" w:rsidP="00BE5714">
            <w:pPr>
              <w:widowControl/>
              <w:autoSpaceDE/>
              <w:autoSpaceDN/>
              <w:adjustRightInd/>
              <w:jc w:val="right"/>
              <w:rPr>
                <w:b/>
                <w:bCs/>
                <w:sz w:val="16"/>
                <w:szCs w:val="16"/>
              </w:rPr>
            </w:pPr>
            <w:r w:rsidRPr="001608C4">
              <w:rPr>
                <w:b/>
                <w:bCs/>
                <w:sz w:val="16"/>
                <w:szCs w:val="16"/>
              </w:rPr>
              <w:t>(467.500,62)</w:t>
            </w:r>
          </w:p>
        </w:tc>
        <w:tc>
          <w:tcPr>
            <w:tcW w:w="280" w:type="pct"/>
            <w:tcBorders>
              <w:top w:val="nil"/>
              <w:left w:val="nil"/>
              <w:bottom w:val="single" w:sz="4" w:space="0" w:color="auto"/>
              <w:right w:val="single" w:sz="4" w:space="0" w:color="auto"/>
            </w:tcBorders>
            <w:shd w:val="clear" w:color="auto" w:fill="auto"/>
            <w:noWrap/>
            <w:vAlign w:val="center"/>
            <w:hideMark/>
          </w:tcPr>
          <w:p w14:paraId="58BDF788"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0ACDFA85"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B107931"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313" w:type="pct"/>
            <w:tcBorders>
              <w:top w:val="nil"/>
              <w:left w:val="nil"/>
              <w:bottom w:val="single" w:sz="4" w:space="0" w:color="auto"/>
              <w:right w:val="single" w:sz="4" w:space="0" w:color="auto"/>
            </w:tcBorders>
            <w:shd w:val="clear" w:color="auto" w:fill="auto"/>
            <w:noWrap/>
            <w:vAlign w:val="center"/>
            <w:hideMark/>
          </w:tcPr>
          <w:p w14:paraId="6205FB1B" w14:textId="77777777" w:rsidR="00BE5714" w:rsidRPr="001608C4" w:rsidRDefault="00BE5714" w:rsidP="00BE5714">
            <w:pPr>
              <w:widowControl/>
              <w:autoSpaceDE/>
              <w:autoSpaceDN/>
              <w:adjustRightInd/>
              <w:jc w:val="right"/>
              <w:rPr>
                <w:b/>
                <w:bCs/>
                <w:sz w:val="16"/>
                <w:szCs w:val="16"/>
              </w:rPr>
            </w:pPr>
            <w:r w:rsidRPr="001608C4">
              <w:rPr>
                <w:b/>
                <w:bCs/>
                <w:sz w:val="16"/>
                <w:szCs w:val="16"/>
              </w:rPr>
              <w:t>(1.612.098,92)</w:t>
            </w:r>
          </w:p>
        </w:tc>
        <w:tc>
          <w:tcPr>
            <w:tcW w:w="280" w:type="pct"/>
            <w:tcBorders>
              <w:top w:val="nil"/>
              <w:left w:val="nil"/>
              <w:bottom w:val="single" w:sz="4" w:space="0" w:color="auto"/>
              <w:right w:val="single" w:sz="4" w:space="0" w:color="auto"/>
            </w:tcBorders>
            <w:shd w:val="clear" w:color="auto" w:fill="auto"/>
            <w:noWrap/>
            <w:vAlign w:val="center"/>
            <w:hideMark/>
          </w:tcPr>
          <w:p w14:paraId="1A7F1E6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9BDA52B"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0" w:type="pct"/>
            <w:tcBorders>
              <w:top w:val="nil"/>
              <w:left w:val="nil"/>
              <w:bottom w:val="single" w:sz="4" w:space="0" w:color="auto"/>
              <w:right w:val="single" w:sz="4" w:space="0" w:color="auto"/>
            </w:tcBorders>
            <w:shd w:val="clear" w:color="auto" w:fill="auto"/>
            <w:noWrap/>
            <w:vAlign w:val="center"/>
            <w:hideMark/>
          </w:tcPr>
          <w:p w14:paraId="1B761700"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0,00 </w:t>
            </w:r>
          </w:p>
        </w:tc>
        <w:tc>
          <w:tcPr>
            <w:tcW w:w="288" w:type="pct"/>
            <w:tcBorders>
              <w:top w:val="nil"/>
              <w:left w:val="nil"/>
              <w:bottom w:val="single" w:sz="4" w:space="0" w:color="auto"/>
              <w:right w:val="single" w:sz="4" w:space="0" w:color="auto"/>
            </w:tcBorders>
            <w:shd w:val="clear" w:color="auto" w:fill="auto"/>
            <w:noWrap/>
            <w:vAlign w:val="center"/>
            <w:hideMark/>
          </w:tcPr>
          <w:p w14:paraId="1C5D0D34"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15.382.222,34 </w:t>
            </w:r>
          </w:p>
        </w:tc>
        <w:tc>
          <w:tcPr>
            <w:tcW w:w="361" w:type="pct"/>
            <w:tcBorders>
              <w:top w:val="nil"/>
              <w:left w:val="nil"/>
              <w:bottom w:val="single" w:sz="4" w:space="0" w:color="auto"/>
              <w:right w:val="single" w:sz="4" w:space="0" w:color="auto"/>
            </w:tcBorders>
            <w:shd w:val="clear" w:color="auto" w:fill="auto"/>
            <w:noWrap/>
            <w:vAlign w:val="center"/>
            <w:hideMark/>
          </w:tcPr>
          <w:p w14:paraId="38D05231" w14:textId="77777777" w:rsidR="00BE5714" w:rsidRPr="001608C4" w:rsidRDefault="00BE5714" w:rsidP="00BE5714">
            <w:pPr>
              <w:widowControl/>
              <w:autoSpaceDE/>
              <w:autoSpaceDN/>
              <w:adjustRightInd/>
              <w:jc w:val="right"/>
              <w:rPr>
                <w:b/>
                <w:bCs/>
                <w:sz w:val="16"/>
                <w:szCs w:val="16"/>
              </w:rPr>
            </w:pPr>
            <w:r w:rsidRPr="001608C4">
              <w:rPr>
                <w:b/>
                <w:bCs/>
                <w:sz w:val="16"/>
                <w:szCs w:val="16"/>
              </w:rPr>
              <w:t xml:space="preserve"> 15.362.724,80 </w:t>
            </w:r>
          </w:p>
        </w:tc>
      </w:tr>
      <w:tr w:rsidR="00BE5714" w:rsidRPr="001608C4" w14:paraId="5BB732B0" w14:textId="77777777" w:rsidTr="001608C4">
        <w:trPr>
          <w:trHeight w:val="231"/>
        </w:trPr>
        <w:tc>
          <w:tcPr>
            <w:tcW w:w="1198" w:type="pct"/>
            <w:tcBorders>
              <w:top w:val="nil"/>
              <w:left w:val="nil"/>
              <w:bottom w:val="nil"/>
              <w:right w:val="nil"/>
            </w:tcBorders>
            <w:shd w:val="clear" w:color="auto" w:fill="auto"/>
            <w:noWrap/>
            <w:vAlign w:val="center"/>
            <w:hideMark/>
          </w:tcPr>
          <w:p w14:paraId="05CA808A" w14:textId="77777777" w:rsidR="00BE5714" w:rsidRPr="001608C4" w:rsidRDefault="00BE5714" w:rsidP="00BE5714">
            <w:pPr>
              <w:widowControl/>
              <w:autoSpaceDE/>
              <w:autoSpaceDN/>
              <w:adjustRightInd/>
              <w:jc w:val="right"/>
              <w:rPr>
                <w:b/>
                <w:bCs/>
                <w:sz w:val="16"/>
                <w:szCs w:val="16"/>
              </w:rPr>
            </w:pPr>
          </w:p>
        </w:tc>
        <w:tc>
          <w:tcPr>
            <w:tcW w:w="280" w:type="pct"/>
            <w:tcBorders>
              <w:top w:val="nil"/>
              <w:left w:val="nil"/>
              <w:bottom w:val="nil"/>
              <w:right w:val="nil"/>
            </w:tcBorders>
            <w:shd w:val="clear" w:color="auto" w:fill="auto"/>
            <w:noWrap/>
            <w:vAlign w:val="center"/>
            <w:hideMark/>
          </w:tcPr>
          <w:p w14:paraId="44B1E907"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845828A"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1DADCF89"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17" w:type="pct"/>
            <w:tcBorders>
              <w:top w:val="nil"/>
              <w:left w:val="nil"/>
              <w:bottom w:val="nil"/>
              <w:right w:val="nil"/>
            </w:tcBorders>
            <w:shd w:val="clear" w:color="auto" w:fill="auto"/>
            <w:noWrap/>
            <w:vAlign w:val="center"/>
            <w:hideMark/>
          </w:tcPr>
          <w:p w14:paraId="2FFF87B9"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79068C96"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B4C422B"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7931FDA"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13" w:type="pct"/>
            <w:tcBorders>
              <w:top w:val="nil"/>
              <w:left w:val="nil"/>
              <w:bottom w:val="nil"/>
              <w:right w:val="nil"/>
            </w:tcBorders>
            <w:shd w:val="clear" w:color="auto" w:fill="auto"/>
            <w:noWrap/>
            <w:vAlign w:val="center"/>
            <w:hideMark/>
          </w:tcPr>
          <w:p w14:paraId="32399276"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65B48F68"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5AEE811D"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0" w:type="pct"/>
            <w:tcBorders>
              <w:top w:val="nil"/>
              <w:left w:val="nil"/>
              <w:bottom w:val="nil"/>
              <w:right w:val="nil"/>
            </w:tcBorders>
            <w:shd w:val="clear" w:color="auto" w:fill="auto"/>
            <w:noWrap/>
            <w:vAlign w:val="center"/>
            <w:hideMark/>
          </w:tcPr>
          <w:p w14:paraId="0ADC2ACD"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288" w:type="pct"/>
            <w:tcBorders>
              <w:top w:val="nil"/>
              <w:left w:val="nil"/>
              <w:bottom w:val="nil"/>
              <w:right w:val="nil"/>
            </w:tcBorders>
            <w:shd w:val="clear" w:color="auto" w:fill="auto"/>
            <w:noWrap/>
            <w:vAlign w:val="center"/>
            <w:hideMark/>
          </w:tcPr>
          <w:p w14:paraId="3B62B837" w14:textId="77777777" w:rsidR="00BE5714" w:rsidRPr="001608C4" w:rsidRDefault="00BE5714" w:rsidP="00BE5714">
            <w:pPr>
              <w:widowControl/>
              <w:autoSpaceDE/>
              <w:autoSpaceDN/>
              <w:adjustRightInd/>
              <w:rPr>
                <w:rFonts w:ascii="Times New Roman" w:hAnsi="Times New Roman" w:cs="Times New Roman"/>
                <w:sz w:val="16"/>
                <w:szCs w:val="16"/>
              </w:rPr>
            </w:pPr>
          </w:p>
        </w:tc>
        <w:tc>
          <w:tcPr>
            <w:tcW w:w="361" w:type="pct"/>
            <w:tcBorders>
              <w:top w:val="nil"/>
              <w:left w:val="nil"/>
              <w:bottom w:val="nil"/>
              <w:right w:val="nil"/>
            </w:tcBorders>
            <w:shd w:val="clear" w:color="auto" w:fill="auto"/>
            <w:noWrap/>
            <w:vAlign w:val="center"/>
            <w:hideMark/>
          </w:tcPr>
          <w:p w14:paraId="5541E33B" w14:textId="77777777" w:rsidR="00BE5714" w:rsidRPr="001608C4" w:rsidRDefault="00BE5714" w:rsidP="00BE5714">
            <w:pPr>
              <w:widowControl/>
              <w:autoSpaceDE/>
              <w:autoSpaceDN/>
              <w:adjustRightInd/>
              <w:rPr>
                <w:rFonts w:ascii="Times New Roman" w:hAnsi="Times New Roman" w:cs="Times New Roman"/>
                <w:sz w:val="16"/>
                <w:szCs w:val="16"/>
              </w:rPr>
            </w:pPr>
          </w:p>
        </w:tc>
      </w:tr>
    </w:tbl>
    <w:p w14:paraId="05C0F09C"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484F14F"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4A8576F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41BB2AA"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71937360"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55EEC63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3AA0AA68" w14:textId="77777777" w:rsidR="001608C4" w:rsidRDefault="001608C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sectPr w:rsidR="001608C4" w:rsidSect="001608C4">
          <w:pgSz w:w="16840" w:h="11907" w:orient="landscape"/>
          <w:pgMar w:top="567" w:right="993" w:bottom="1418" w:left="1276" w:header="720" w:footer="720" w:gutter="0"/>
          <w:pgNumType w:start="5"/>
          <w:cols w:space="708"/>
          <w:docGrid w:linePitch="360"/>
        </w:sectPr>
      </w:pPr>
    </w:p>
    <w:p w14:paraId="2979AA42"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tbl>
      <w:tblPr>
        <w:tblW w:w="5000" w:type="pct"/>
        <w:tblCellMar>
          <w:left w:w="70" w:type="dxa"/>
          <w:right w:w="70" w:type="dxa"/>
        </w:tblCellMar>
        <w:tblLook w:val="04A0" w:firstRow="1" w:lastRow="0" w:firstColumn="1" w:lastColumn="0" w:noHBand="0" w:noVBand="1"/>
      </w:tblPr>
      <w:tblGrid>
        <w:gridCol w:w="6224"/>
        <w:gridCol w:w="922"/>
        <w:gridCol w:w="1384"/>
        <w:gridCol w:w="1382"/>
      </w:tblGrid>
      <w:tr w:rsidR="00BE5714" w:rsidRPr="001608C4" w14:paraId="15806419" w14:textId="77777777" w:rsidTr="003416FB">
        <w:trPr>
          <w:trHeight w:val="42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C598B6"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PROMOCIÓN DE LA CIUDAD DE LAS PALMAS DE GRAN CANARIA, S.A.</w:t>
            </w:r>
          </w:p>
        </w:tc>
      </w:tr>
      <w:tr w:rsidR="00BE5714" w:rsidRPr="001608C4" w14:paraId="5AA27D08" w14:textId="77777777" w:rsidTr="003416FB">
        <w:trPr>
          <w:trHeight w:val="257"/>
        </w:trPr>
        <w:tc>
          <w:tcPr>
            <w:tcW w:w="3140" w:type="pct"/>
            <w:tcBorders>
              <w:top w:val="nil"/>
              <w:left w:val="nil"/>
              <w:bottom w:val="nil"/>
              <w:right w:val="nil"/>
            </w:tcBorders>
            <w:shd w:val="clear" w:color="auto" w:fill="auto"/>
            <w:noWrap/>
            <w:vAlign w:val="center"/>
            <w:hideMark/>
          </w:tcPr>
          <w:p w14:paraId="798CCECC" w14:textId="77777777" w:rsidR="00BE5714" w:rsidRPr="001608C4" w:rsidRDefault="00BE5714" w:rsidP="00BE5714">
            <w:pPr>
              <w:widowControl/>
              <w:autoSpaceDE/>
              <w:autoSpaceDN/>
              <w:adjustRightInd/>
              <w:jc w:val="center"/>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29E65F66" w14:textId="77777777" w:rsidR="00BE5714" w:rsidRPr="001608C4"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05E68621" w14:textId="77777777" w:rsidR="00BE5714" w:rsidRPr="001608C4" w:rsidRDefault="00BE5714" w:rsidP="00BE5714">
            <w:pPr>
              <w:widowControl/>
              <w:autoSpaceDE/>
              <w:autoSpaceDN/>
              <w:adjustRightInd/>
              <w:jc w:val="center"/>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77B44AB2" w14:textId="77777777" w:rsidR="00BE5714" w:rsidRPr="001608C4" w:rsidRDefault="00BE5714" w:rsidP="00BE5714">
            <w:pPr>
              <w:widowControl/>
              <w:autoSpaceDE/>
              <w:autoSpaceDN/>
              <w:adjustRightInd/>
              <w:rPr>
                <w:rFonts w:ascii="Times New Roman" w:hAnsi="Times New Roman" w:cs="Times New Roman"/>
                <w:sz w:val="18"/>
                <w:szCs w:val="18"/>
              </w:rPr>
            </w:pPr>
          </w:p>
        </w:tc>
      </w:tr>
      <w:tr w:rsidR="00BE5714" w:rsidRPr="001608C4" w14:paraId="6B1F0D12" w14:textId="77777777" w:rsidTr="003416FB">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6A38B2D"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ESTADO DE FLUJOS DE EFECTIVO CORRESPONDIENTE AL EJERCICIO TERMINADO EL 31 DE DICIEMBRE DE 2022</w:t>
            </w:r>
          </w:p>
        </w:tc>
      </w:tr>
      <w:tr w:rsidR="00BE5714" w:rsidRPr="001608C4" w14:paraId="26307405" w14:textId="77777777" w:rsidTr="003416FB">
        <w:trPr>
          <w:trHeight w:val="254"/>
        </w:trPr>
        <w:tc>
          <w:tcPr>
            <w:tcW w:w="3140" w:type="pct"/>
            <w:tcBorders>
              <w:top w:val="nil"/>
              <w:left w:val="nil"/>
              <w:bottom w:val="nil"/>
              <w:right w:val="nil"/>
            </w:tcBorders>
            <w:shd w:val="clear" w:color="auto" w:fill="auto"/>
            <w:noWrap/>
            <w:vAlign w:val="center"/>
            <w:hideMark/>
          </w:tcPr>
          <w:p w14:paraId="21454F92" w14:textId="77777777" w:rsidR="00BE5714" w:rsidRPr="001608C4" w:rsidRDefault="00BE5714" w:rsidP="00BE5714">
            <w:pPr>
              <w:widowControl/>
              <w:autoSpaceDE/>
              <w:autoSpaceDN/>
              <w:adjustRightInd/>
              <w:jc w:val="center"/>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7B0A5A65" w14:textId="77777777" w:rsidR="00BE5714" w:rsidRPr="001608C4"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573AC409" w14:textId="77777777" w:rsidR="00BE5714" w:rsidRPr="001608C4" w:rsidRDefault="00BE5714" w:rsidP="00BE5714">
            <w:pPr>
              <w:widowControl/>
              <w:autoSpaceDE/>
              <w:autoSpaceDN/>
              <w:adjustRightInd/>
              <w:jc w:val="center"/>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047F641E" w14:textId="77777777" w:rsidR="00BE5714" w:rsidRPr="001608C4" w:rsidRDefault="00BE5714" w:rsidP="00BE5714">
            <w:pPr>
              <w:widowControl/>
              <w:autoSpaceDE/>
              <w:autoSpaceDN/>
              <w:adjustRightInd/>
              <w:rPr>
                <w:rFonts w:ascii="Times New Roman" w:hAnsi="Times New Roman" w:cs="Times New Roman"/>
                <w:sz w:val="18"/>
                <w:szCs w:val="18"/>
              </w:rPr>
            </w:pPr>
          </w:p>
        </w:tc>
      </w:tr>
      <w:tr w:rsidR="00BE5714" w:rsidRPr="001608C4" w14:paraId="4658D3CD" w14:textId="77777777" w:rsidTr="003416FB">
        <w:trPr>
          <w:trHeight w:val="781"/>
        </w:trPr>
        <w:tc>
          <w:tcPr>
            <w:tcW w:w="3140" w:type="pct"/>
            <w:tcBorders>
              <w:top w:val="nil"/>
              <w:left w:val="nil"/>
              <w:bottom w:val="single" w:sz="4" w:space="0" w:color="auto"/>
              <w:right w:val="nil"/>
            </w:tcBorders>
            <w:shd w:val="clear" w:color="auto" w:fill="auto"/>
            <w:noWrap/>
            <w:vAlign w:val="center"/>
            <w:hideMark/>
          </w:tcPr>
          <w:p w14:paraId="2BDFA23C"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465" w:type="pct"/>
            <w:tcBorders>
              <w:top w:val="single" w:sz="4" w:space="0" w:color="auto"/>
              <w:left w:val="single" w:sz="4" w:space="0" w:color="auto"/>
              <w:bottom w:val="nil"/>
              <w:right w:val="single" w:sz="4" w:space="0" w:color="auto"/>
            </w:tcBorders>
            <w:shd w:val="clear" w:color="auto" w:fill="auto"/>
            <w:vAlign w:val="center"/>
            <w:hideMark/>
          </w:tcPr>
          <w:p w14:paraId="3D5F9709"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Notas de la memoria</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173219CD"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2022</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781485AA"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2021</w:t>
            </w:r>
          </w:p>
        </w:tc>
      </w:tr>
      <w:tr w:rsidR="00BE5714" w:rsidRPr="001608C4" w14:paraId="01943114" w14:textId="77777777" w:rsidTr="003416FB">
        <w:trPr>
          <w:trHeight w:val="254"/>
        </w:trPr>
        <w:tc>
          <w:tcPr>
            <w:tcW w:w="3140" w:type="pct"/>
            <w:tcBorders>
              <w:top w:val="nil"/>
              <w:left w:val="single" w:sz="4" w:space="0" w:color="auto"/>
              <w:bottom w:val="single" w:sz="4" w:space="0" w:color="auto"/>
              <w:right w:val="nil"/>
            </w:tcBorders>
            <w:shd w:val="clear" w:color="auto" w:fill="auto"/>
            <w:vAlign w:val="center"/>
            <w:hideMark/>
          </w:tcPr>
          <w:p w14:paraId="58C241DA"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A) FLUJOS DE EFECTIVO DE LAS ACTIVIDADES DE EXPLOTACIÓN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34FE"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single" w:sz="4" w:space="0" w:color="auto"/>
              <w:right w:val="single" w:sz="4" w:space="0" w:color="auto"/>
            </w:tcBorders>
            <w:shd w:val="clear" w:color="auto" w:fill="auto"/>
            <w:noWrap/>
            <w:vAlign w:val="center"/>
            <w:hideMark/>
          </w:tcPr>
          <w:p w14:paraId="58AEC439"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w:t>
            </w:r>
          </w:p>
        </w:tc>
        <w:tc>
          <w:tcPr>
            <w:tcW w:w="698" w:type="pct"/>
            <w:tcBorders>
              <w:top w:val="nil"/>
              <w:left w:val="nil"/>
              <w:bottom w:val="single" w:sz="4" w:space="0" w:color="auto"/>
              <w:right w:val="single" w:sz="4" w:space="0" w:color="auto"/>
            </w:tcBorders>
            <w:shd w:val="clear" w:color="auto" w:fill="auto"/>
            <w:noWrap/>
            <w:vAlign w:val="center"/>
            <w:hideMark/>
          </w:tcPr>
          <w:p w14:paraId="43AA9147" w14:textId="77777777" w:rsidR="00BE5714" w:rsidRPr="001608C4" w:rsidRDefault="00BE5714" w:rsidP="00BE5714">
            <w:pPr>
              <w:widowControl/>
              <w:autoSpaceDE/>
              <w:autoSpaceDN/>
              <w:adjustRightInd/>
              <w:rPr>
                <w:rFonts w:ascii="Cambria" w:hAnsi="Cambria"/>
                <w:b/>
                <w:bCs/>
                <w:color w:val="0000FF"/>
                <w:sz w:val="18"/>
                <w:szCs w:val="18"/>
              </w:rPr>
            </w:pPr>
            <w:r w:rsidRPr="001608C4">
              <w:rPr>
                <w:rFonts w:ascii="Cambria" w:hAnsi="Cambria"/>
                <w:b/>
                <w:bCs/>
                <w:color w:val="0000FF"/>
                <w:sz w:val="18"/>
                <w:szCs w:val="18"/>
              </w:rPr>
              <w:t> </w:t>
            </w:r>
          </w:p>
        </w:tc>
      </w:tr>
      <w:tr w:rsidR="00BE5714" w:rsidRPr="001608C4" w14:paraId="3086CD2A"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2D2B8F67"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1. Resultado del ejercicio antes de impuestos.</w:t>
            </w:r>
          </w:p>
        </w:tc>
        <w:tc>
          <w:tcPr>
            <w:tcW w:w="465" w:type="pct"/>
            <w:tcBorders>
              <w:top w:val="nil"/>
              <w:left w:val="single" w:sz="4" w:space="0" w:color="auto"/>
              <w:bottom w:val="nil"/>
              <w:right w:val="single" w:sz="4" w:space="0" w:color="auto"/>
            </w:tcBorders>
            <w:shd w:val="clear" w:color="auto" w:fill="auto"/>
            <w:noWrap/>
            <w:vAlign w:val="center"/>
            <w:hideMark/>
          </w:tcPr>
          <w:p w14:paraId="7B2932AA"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76899DB3"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(1.612.098,92)</w:t>
            </w:r>
          </w:p>
        </w:tc>
        <w:tc>
          <w:tcPr>
            <w:tcW w:w="698" w:type="pct"/>
            <w:tcBorders>
              <w:top w:val="nil"/>
              <w:left w:val="nil"/>
              <w:bottom w:val="nil"/>
              <w:right w:val="single" w:sz="4" w:space="0" w:color="auto"/>
            </w:tcBorders>
            <w:shd w:val="clear" w:color="auto" w:fill="auto"/>
            <w:noWrap/>
            <w:vAlign w:val="center"/>
            <w:hideMark/>
          </w:tcPr>
          <w:p w14:paraId="1873E0E1"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32.564,19</w:t>
            </w:r>
          </w:p>
        </w:tc>
      </w:tr>
      <w:tr w:rsidR="00BE5714" w:rsidRPr="001608C4" w14:paraId="38274691"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3E798B4A"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2. Ajustes del resultado.</w:t>
            </w:r>
          </w:p>
        </w:tc>
        <w:tc>
          <w:tcPr>
            <w:tcW w:w="465" w:type="pct"/>
            <w:tcBorders>
              <w:top w:val="nil"/>
              <w:left w:val="single" w:sz="4" w:space="0" w:color="auto"/>
              <w:bottom w:val="nil"/>
              <w:right w:val="single" w:sz="4" w:space="0" w:color="auto"/>
            </w:tcBorders>
            <w:shd w:val="clear" w:color="auto" w:fill="auto"/>
            <w:noWrap/>
            <w:vAlign w:val="center"/>
            <w:hideMark/>
          </w:tcPr>
          <w:p w14:paraId="57E17737"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7FA750F1"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28.933,86 </w:t>
            </w:r>
          </w:p>
        </w:tc>
        <w:tc>
          <w:tcPr>
            <w:tcW w:w="698" w:type="pct"/>
            <w:tcBorders>
              <w:top w:val="nil"/>
              <w:left w:val="nil"/>
              <w:bottom w:val="nil"/>
              <w:right w:val="single" w:sz="4" w:space="0" w:color="auto"/>
            </w:tcBorders>
            <w:shd w:val="clear" w:color="auto" w:fill="auto"/>
            <w:noWrap/>
            <w:vAlign w:val="center"/>
            <w:hideMark/>
          </w:tcPr>
          <w:p w14:paraId="50D93731"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(93.852,26)</w:t>
            </w:r>
          </w:p>
        </w:tc>
      </w:tr>
      <w:tr w:rsidR="00BE5714" w:rsidRPr="001608C4" w14:paraId="74172689"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55CAF481"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a) Amortización del inmovilizado (+).</w:t>
            </w:r>
          </w:p>
        </w:tc>
        <w:tc>
          <w:tcPr>
            <w:tcW w:w="465" w:type="pct"/>
            <w:tcBorders>
              <w:top w:val="nil"/>
              <w:left w:val="single" w:sz="4" w:space="0" w:color="auto"/>
              <w:bottom w:val="nil"/>
              <w:right w:val="single" w:sz="4" w:space="0" w:color="auto"/>
            </w:tcBorders>
            <w:shd w:val="clear" w:color="auto" w:fill="auto"/>
            <w:noWrap/>
            <w:vAlign w:val="center"/>
            <w:hideMark/>
          </w:tcPr>
          <w:p w14:paraId="6612CBCF"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6</w:t>
            </w:r>
          </w:p>
        </w:tc>
        <w:tc>
          <w:tcPr>
            <w:tcW w:w="698" w:type="pct"/>
            <w:tcBorders>
              <w:top w:val="nil"/>
              <w:left w:val="nil"/>
              <w:bottom w:val="nil"/>
              <w:right w:val="single" w:sz="4" w:space="0" w:color="auto"/>
            </w:tcBorders>
            <w:shd w:val="clear" w:color="auto" w:fill="auto"/>
            <w:noWrap/>
            <w:vAlign w:val="center"/>
            <w:hideMark/>
          </w:tcPr>
          <w:p w14:paraId="7A21A0F5"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144.122,89</w:t>
            </w:r>
          </w:p>
        </w:tc>
        <w:tc>
          <w:tcPr>
            <w:tcW w:w="698" w:type="pct"/>
            <w:tcBorders>
              <w:top w:val="nil"/>
              <w:left w:val="nil"/>
              <w:bottom w:val="nil"/>
              <w:right w:val="single" w:sz="4" w:space="0" w:color="auto"/>
            </w:tcBorders>
            <w:shd w:val="clear" w:color="auto" w:fill="auto"/>
            <w:noWrap/>
            <w:vAlign w:val="center"/>
            <w:hideMark/>
          </w:tcPr>
          <w:p w14:paraId="7728D242"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146.336,77</w:t>
            </w:r>
          </w:p>
        </w:tc>
      </w:tr>
      <w:tr w:rsidR="00BE5714" w:rsidRPr="001608C4" w14:paraId="1F2DFCB5"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372E39A6"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 xml:space="preserve">d) Imputación de subvenciones </w:t>
            </w:r>
          </w:p>
        </w:tc>
        <w:tc>
          <w:tcPr>
            <w:tcW w:w="465" w:type="pct"/>
            <w:tcBorders>
              <w:top w:val="nil"/>
              <w:left w:val="single" w:sz="4" w:space="0" w:color="auto"/>
              <w:bottom w:val="nil"/>
              <w:right w:val="single" w:sz="4" w:space="0" w:color="auto"/>
            </w:tcBorders>
            <w:shd w:val="clear" w:color="auto" w:fill="auto"/>
            <w:noWrap/>
            <w:vAlign w:val="center"/>
            <w:hideMark/>
          </w:tcPr>
          <w:p w14:paraId="03667418"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12</w:t>
            </w:r>
          </w:p>
        </w:tc>
        <w:tc>
          <w:tcPr>
            <w:tcW w:w="698" w:type="pct"/>
            <w:tcBorders>
              <w:top w:val="nil"/>
              <w:left w:val="nil"/>
              <w:bottom w:val="nil"/>
              <w:right w:val="single" w:sz="4" w:space="0" w:color="auto"/>
            </w:tcBorders>
            <w:shd w:val="clear" w:color="auto" w:fill="auto"/>
            <w:noWrap/>
            <w:vAlign w:val="center"/>
            <w:hideMark/>
          </w:tcPr>
          <w:p w14:paraId="0C806795"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(115.189,03)</w:t>
            </w:r>
          </w:p>
        </w:tc>
        <w:tc>
          <w:tcPr>
            <w:tcW w:w="698" w:type="pct"/>
            <w:tcBorders>
              <w:top w:val="nil"/>
              <w:left w:val="nil"/>
              <w:bottom w:val="nil"/>
              <w:right w:val="single" w:sz="4" w:space="0" w:color="auto"/>
            </w:tcBorders>
            <w:shd w:val="clear" w:color="auto" w:fill="auto"/>
            <w:noWrap/>
            <w:vAlign w:val="center"/>
            <w:hideMark/>
          </w:tcPr>
          <w:p w14:paraId="35126EB6"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(115.189,03)</w:t>
            </w:r>
          </w:p>
        </w:tc>
      </w:tr>
      <w:tr w:rsidR="00BE5714" w:rsidRPr="001608C4" w14:paraId="660E2159"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42447542"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k) Otros ingresos y gastos (+/-).</w:t>
            </w:r>
          </w:p>
        </w:tc>
        <w:tc>
          <w:tcPr>
            <w:tcW w:w="465" w:type="pct"/>
            <w:tcBorders>
              <w:top w:val="nil"/>
              <w:left w:val="single" w:sz="4" w:space="0" w:color="auto"/>
              <w:bottom w:val="nil"/>
              <w:right w:val="single" w:sz="4" w:space="0" w:color="auto"/>
            </w:tcBorders>
            <w:shd w:val="clear" w:color="auto" w:fill="auto"/>
            <w:noWrap/>
            <w:vAlign w:val="center"/>
            <w:hideMark/>
          </w:tcPr>
          <w:p w14:paraId="57534615"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0B47D0E"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0,00 </w:t>
            </w:r>
          </w:p>
        </w:tc>
        <w:tc>
          <w:tcPr>
            <w:tcW w:w="698" w:type="pct"/>
            <w:tcBorders>
              <w:top w:val="nil"/>
              <w:left w:val="nil"/>
              <w:bottom w:val="nil"/>
              <w:right w:val="single" w:sz="4" w:space="0" w:color="auto"/>
            </w:tcBorders>
            <w:shd w:val="clear" w:color="auto" w:fill="auto"/>
            <w:noWrap/>
            <w:vAlign w:val="center"/>
            <w:hideMark/>
          </w:tcPr>
          <w:p w14:paraId="172E4B5E"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(125.000,00)</w:t>
            </w:r>
          </w:p>
        </w:tc>
      </w:tr>
      <w:tr w:rsidR="00BE5714" w:rsidRPr="001608C4" w14:paraId="7741B041"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4722491F"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3. Cambios en el capital corriente.</w:t>
            </w:r>
          </w:p>
        </w:tc>
        <w:tc>
          <w:tcPr>
            <w:tcW w:w="465" w:type="pct"/>
            <w:tcBorders>
              <w:top w:val="nil"/>
              <w:left w:val="single" w:sz="4" w:space="0" w:color="auto"/>
              <w:bottom w:val="nil"/>
              <w:right w:val="single" w:sz="4" w:space="0" w:color="auto"/>
            </w:tcBorders>
            <w:shd w:val="clear" w:color="auto" w:fill="auto"/>
            <w:noWrap/>
            <w:vAlign w:val="center"/>
            <w:hideMark/>
          </w:tcPr>
          <w:p w14:paraId="095BF26C"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276FC9A4"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2.406.164,69 </w:t>
            </w:r>
          </w:p>
        </w:tc>
        <w:tc>
          <w:tcPr>
            <w:tcW w:w="698" w:type="pct"/>
            <w:tcBorders>
              <w:top w:val="nil"/>
              <w:left w:val="nil"/>
              <w:bottom w:val="nil"/>
              <w:right w:val="single" w:sz="4" w:space="0" w:color="auto"/>
            </w:tcBorders>
            <w:shd w:val="clear" w:color="auto" w:fill="auto"/>
            <w:noWrap/>
            <w:vAlign w:val="center"/>
            <w:hideMark/>
          </w:tcPr>
          <w:p w14:paraId="06975918"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(2.050.446,25)</w:t>
            </w:r>
          </w:p>
        </w:tc>
      </w:tr>
      <w:tr w:rsidR="00BE5714" w:rsidRPr="001608C4" w14:paraId="1511C0B2"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2E1392D8"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b) Deudores y otras cuentas a cobrar (+/-).</w:t>
            </w:r>
          </w:p>
        </w:tc>
        <w:tc>
          <w:tcPr>
            <w:tcW w:w="465" w:type="pct"/>
            <w:tcBorders>
              <w:top w:val="nil"/>
              <w:left w:val="single" w:sz="4" w:space="0" w:color="auto"/>
              <w:bottom w:val="nil"/>
              <w:right w:val="single" w:sz="4" w:space="0" w:color="auto"/>
            </w:tcBorders>
            <w:shd w:val="clear" w:color="auto" w:fill="auto"/>
            <w:noWrap/>
            <w:vAlign w:val="center"/>
            <w:hideMark/>
          </w:tcPr>
          <w:p w14:paraId="3FF52B3B"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B884A3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(1.110.028,77)</w:t>
            </w:r>
          </w:p>
        </w:tc>
        <w:tc>
          <w:tcPr>
            <w:tcW w:w="698" w:type="pct"/>
            <w:tcBorders>
              <w:top w:val="nil"/>
              <w:left w:val="nil"/>
              <w:bottom w:val="nil"/>
              <w:right w:val="single" w:sz="4" w:space="0" w:color="auto"/>
            </w:tcBorders>
            <w:shd w:val="clear" w:color="auto" w:fill="auto"/>
            <w:noWrap/>
            <w:vAlign w:val="center"/>
            <w:hideMark/>
          </w:tcPr>
          <w:p w14:paraId="76938993"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(1.525.467,90)</w:t>
            </w:r>
          </w:p>
        </w:tc>
      </w:tr>
      <w:tr w:rsidR="00BE5714" w:rsidRPr="001608C4" w14:paraId="65EEA661"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651A1C8B"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c) Otros activos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35C5DCF5"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2BA826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3.291.785,89 </w:t>
            </w:r>
          </w:p>
        </w:tc>
        <w:tc>
          <w:tcPr>
            <w:tcW w:w="698" w:type="pct"/>
            <w:tcBorders>
              <w:top w:val="nil"/>
              <w:left w:val="nil"/>
              <w:bottom w:val="nil"/>
              <w:right w:val="single" w:sz="4" w:space="0" w:color="auto"/>
            </w:tcBorders>
            <w:shd w:val="clear" w:color="auto" w:fill="auto"/>
            <w:noWrap/>
            <w:vAlign w:val="center"/>
            <w:hideMark/>
          </w:tcPr>
          <w:p w14:paraId="4828F292"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27.116,37 </w:t>
            </w:r>
          </w:p>
        </w:tc>
      </w:tr>
      <w:tr w:rsidR="00BE5714" w:rsidRPr="001608C4" w14:paraId="492D55B7"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0F71B1D4"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d) Acreedores y otras cuentas a pagar (+/-).</w:t>
            </w:r>
          </w:p>
        </w:tc>
        <w:tc>
          <w:tcPr>
            <w:tcW w:w="465" w:type="pct"/>
            <w:tcBorders>
              <w:top w:val="nil"/>
              <w:left w:val="single" w:sz="4" w:space="0" w:color="auto"/>
              <w:bottom w:val="nil"/>
              <w:right w:val="single" w:sz="4" w:space="0" w:color="auto"/>
            </w:tcBorders>
            <w:shd w:val="clear" w:color="auto" w:fill="auto"/>
            <w:noWrap/>
            <w:vAlign w:val="center"/>
            <w:hideMark/>
          </w:tcPr>
          <w:p w14:paraId="17BFDCA6"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6807C7C"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224.407,59 </w:t>
            </w:r>
          </w:p>
        </w:tc>
        <w:tc>
          <w:tcPr>
            <w:tcW w:w="698" w:type="pct"/>
            <w:tcBorders>
              <w:top w:val="nil"/>
              <w:left w:val="nil"/>
              <w:bottom w:val="nil"/>
              <w:right w:val="single" w:sz="4" w:space="0" w:color="auto"/>
            </w:tcBorders>
            <w:shd w:val="clear" w:color="auto" w:fill="auto"/>
            <w:noWrap/>
            <w:vAlign w:val="center"/>
            <w:hideMark/>
          </w:tcPr>
          <w:p w14:paraId="7A34730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(339.939,66)</w:t>
            </w:r>
          </w:p>
        </w:tc>
      </w:tr>
      <w:tr w:rsidR="00BE5714" w:rsidRPr="001608C4" w14:paraId="05D87F92"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6B3E31A8"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e) Otros pasivos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4C03F49D"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4ECC0B2B"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(0,02)</w:t>
            </w:r>
          </w:p>
        </w:tc>
        <w:tc>
          <w:tcPr>
            <w:tcW w:w="698" w:type="pct"/>
            <w:tcBorders>
              <w:top w:val="nil"/>
              <w:left w:val="nil"/>
              <w:bottom w:val="nil"/>
              <w:right w:val="single" w:sz="4" w:space="0" w:color="auto"/>
            </w:tcBorders>
            <w:shd w:val="clear" w:color="auto" w:fill="auto"/>
            <w:noWrap/>
            <w:vAlign w:val="center"/>
            <w:hideMark/>
          </w:tcPr>
          <w:p w14:paraId="04D54C30"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(212.155,06)</w:t>
            </w:r>
          </w:p>
        </w:tc>
      </w:tr>
      <w:tr w:rsidR="00BE5714" w:rsidRPr="001608C4" w14:paraId="37527153"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5DA2A502"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f) Otros activos y pasivos no corrientes (+/-)</w:t>
            </w:r>
          </w:p>
        </w:tc>
        <w:tc>
          <w:tcPr>
            <w:tcW w:w="465" w:type="pct"/>
            <w:tcBorders>
              <w:top w:val="nil"/>
              <w:left w:val="single" w:sz="4" w:space="0" w:color="auto"/>
              <w:bottom w:val="nil"/>
              <w:right w:val="single" w:sz="4" w:space="0" w:color="auto"/>
            </w:tcBorders>
            <w:shd w:val="clear" w:color="auto" w:fill="auto"/>
            <w:noWrap/>
            <w:vAlign w:val="center"/>
            <w:hideMark/>
          </w:tcPr>
          <w:p w14:paraId="43A11492"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159EEC86"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0,00 </w:t>
            </w:r>
          </w:p>
        </w:tc>
        <w:tc>
          <w:tcPr>
            <w:tcW w:w="698" w:type="pct"/>
            <w:tcBorders>
              <w:top w:val="nil"/>
              <w:left w:val="nil"/>
              <w:bottom w:val="nil"/>
              <w:right w:val="single" w:sz="4" w:space="0" w:color="auto"/>
            </w:tcBorders>
            <w:shd w:val="clear" w:color="auto" w:fill="auto"/>
            <w:noWrap/>
            <w:vAlign w:val="center"/>
            <w:hideMark/>
          </w:tcPr>
          <w:p w14:paraId="0CE48F19"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0,00 </w:t>
            </w:r>
          </w:p>
        </w:tc>
      </w:tr>
      <w:tr w:rsidR="00BE5714" w:rsidRPr="001608C4" w14:paraId="30AEDA7C"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70D23C50"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5. Flujos de efectivo de las actividades de explotación</w:t>
            </w:r>
          </w:p>
        </w:tc>
        <w:tc>
          <w:tcPr>
            <w:tcW w:w="465" w:type="pct"/>
            <w:tcBorders>
              <w:top w:val="nil"/>
              <w:left w:val="single" w:sz="4" w:space="0" w:color="auto"/>
              <w:bottom w:val="nil"/>
              <w:right w:val="single" w:sz="4" w:space="0" w:color="auto"/>
            </w:tcBorders>
            <w:shd w:val="clear" w:color="auto" w:fill="auto"/>
            <w:noWrap/>
            <w:vAlign w:val="center"/>
            <w:hideMark/>
          </w:tcPr>
          <w:p w14:paraId="4C60CDFC"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8CB1F61"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822.999,63 </w:t>
            </w:r>
          </w:p>
        </w:tc>
        <w:tc>
          <w:tcPr>
            <w:tcW w:w="698" w:type="pct"/>
            <w:tcBorders>
              <w:top w:val="nil"/>
              <w:left w:val="nil"/>
              <w:bottom w:val="nil"/>
              <w:right w:val="single" w:sz="4" w:space="0" w:color="auto"/>
            </w:tcBorders>
            <w:shd w:val="clear" w:color="auto" w:fill="auto"/>
            <w:noWrap/>
            <w:vAlign w:val="center"/>
            <w:hideMark/>
          </w:tcPr>
          <w:p w14:paraId="637F961E"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(2.111.734,32)</w:t>
            </w:r>
          </w:p>
        </w:tc>
      </w:tr>
      <w:tr w:rsidR="00BE5714" w:rsidRPr="001608C4" w14:paraId="6A5A9F4C" w14:textId="77777777" w:rsidTr="003416FB">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3F009BDE"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B) FLUJOS DE EFECTIVO DE LAS ACTIVIDADES DE INVERSIÓN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85ECE"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6009BF6E"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7101BA72"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w:t>
            </w:r>
          </w:p>
        </w:tc>
      </w:tr>
      <w:tr w:rsidR="00BE5714" w:rsidRPr="001608C4" w14:paraId="0D6E27AB"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319E186D"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6. Pagos por inversiones (-).</w:t>
            </w:r>
          </w:p>
        </w:tc>
        <w:tc>
          <w:tcPr>
            <w:tcW w:w="465" w:type="pct"/>
            <w:tcBorders>
              <w:top w:val="nil"/>
              <w:left w:val="single" w:sz="4" w:space="0" w:color="auto"/>
              <w:bottom w:val="nil"/>
              <w:right w:val="single" w:sz="4" w:space="0" w:color="auto"/>
            </w:tcBorders>
            <w:shd w:val="clear" w:color="auto" w:fill="auto"/>
            <w:noWrap/>
            <w:vAlign w:val="center"/>
            <w:hideMark/>
          </w:tcPr>
          <w:p w14:paraId="191BE411"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E092B2D"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(56.823,41)</w:t>
            </w:r>
          </w:p>
        </w:tc>
        <w:tc>
          <w:tcPr>
            <w:tcW w:w="698" w:type="pct"/>
            <w:tcBorders>
              <w:top w:val="nil"/>
              <w:left w:val="nil"/>
              <w:bottom w:val="nil"/>
              <w:right w:val="single" w:sz="4" w:space="0" w:color="auto"/>
            </w:tcBorders>
            <w:shd w:val="clear" w:color="auto" w:fill="auto"/>
            <w:noWrap/>
            <w:vAlign w:val="center"/>
            <w:hideMark/>
          </w:tcPr>
          <w:p w14:paraId="20CA56BC"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(50.988,00)</w:t>
            </w:r>
          </w:p>
        </w:tc>
      </w:tr>
      <w:tr w:rsidR="00BE5714" w:rsidRPr="001608C4" w14:paraId="01796CF7"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55F47588"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c) Inmovilizado material.</w:t>
            </w:r>
          </w:p>
        </w:tc>
        <w:tc>
          <w:tcPr>
            <w:tcW w:w="465" w:type="pct"/>
            <w:tcBorders>
              <w:top w:val="nil"/>
              <w:left w:val="single" w:sz="4" w:space="0" w:color="auto"/>
              <w:bottom w:val="nil"/>
              <w:right w:val="single" w:sz="4" w:space="0" w:color="auto"/>
            </w:tcBorders>
            <w:shd w:val="clear" w:color="auto" w:fill="auto"/>
            <w:noWrap/>
            <w:vAlign w:val="center"/>
            <w:hideMark/>
          </w:tcPr>
          <w:p w14:paraId="1E4DB4E8"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6</w:t>
            </w:r>
          </w:p>
        </w:tc>
        <w:tc>
          <w:tcPr>
            <w:tcW w:w="698" w:type="pct"/>
            <w:tcBorders>
              <w:top w:val="nil"/>
              <w:left w:val="nil"/>
              <w:bottom w:val="nil"/>
              <w:right w:val="single" w:sz="4" w:space="0" w:color="auto"/>
            </w:tcBorders>
            <w:shd w:val="clear" w:color="auto" w:fill="auto"/>
            <w:noWrap/>
            <w:vAlign w:val="center"/>
            <w:hideMark/>
          </w:tcPr>
          <w:p w14:paraId="2621DB3C"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(56.823,41)</w:t>
            </w:r>
          </w:p>
        </w:tc>
        <w:tc>
          <w:tcPr>
            <w:tcW w:w="698" w:type="pct"/>
            <w:tcBorders>
              <w:top w:val="nil"/>
              <w:left w:val="nil"/>
              <w:bottom w:val="nil"/>
              <w:right w:val="single" w:sz="4" w:space="0" w:color="auto"/>
            </w:tcBorders>
            <w:shd w:val="clear" w:color="auto" w:fill="auto"/>
            <w:noWrap/>
            <w:vAlign w:val="center"/>
            <w:hideMark/>
          </w:tcPr>
          <w:p w14:paraId="7BE4540D"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(14.988,00)</w:t>
            </w:r>
          </w:p>
        </w:tc>
      </w:tr>
      <w:tr w:rsidR="00BE5714" w:rsidRPr="001608C4" w14:paraId="7F95F4BF"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2A55E51F"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e) Otros activos financieros.</w:t>
            </w:r>
          </w:p>
        </w:tc>
        <w:tc>
          <w:tcPr>
            <w:tcW w:w="465" w:type="pct"/>
            <w:tcBorders>
              <w:top w:val="nil"/>
              <w:left w:val="single" w:sz="4" w:space="0" w:color="auto"/>
              <w:bottom w:val="nil"/>
              <w:right w:val="single" w:sz="4" w:space="0" w:color="auto"/>
            </w:tcBorders>
            <w:shd w:val="clear" w:color="auto" w:fill="auto"/>
            <w:noWrap/>
            <w:vAlign w:val="center"/>
            <w:hideMark/>
          </w:tcPr>
          <w:p w14:paraId="3C43A23E"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9B3EA8C"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0,00 </w:t>
            </w:r>
          </w:p>
        </w:tc>
        <w:tc>
          <w:tcPr>
            <w:tcW w:w="698" w:type="pct"/>
            <w:tcBorders>
              <w:top w:val="nil"/>
              <w:left w:val="nil"/>
              <w:bottom w:val="nil"/>
              <w:right w:val="single" w:sz="4" w:space="0" w:color="auto"/>
            </w:tcBorders>
            <w:shd w:val="clear" w:color="auto" w:fill="auto"/>
            <w:noWrap/>
            <w:vAlign w:val="center"/>
            <w:hideMark/>
          </w:tcPr>
          <w:p w14:paraId="5639B9B3"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(36.000,00)</w:t>
            </w:r>
          </w:p>
        </w:tc>
      </w:tr>
      <w:tr w:rsidR="00BE5714" w:rsidRPr="001608C4" w14:paraId="3B23945B"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36DB32BB"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7. Cobros por desinversiones (+).</w:t>
            </w:r>
          </w:p>
        </w:tc>
        <w:tc>
          <w:tcPr>
            <w:tcW w:w="465" w:type="pct"/>
            <w:tcBorders>
              <w:top w:val="nil"/>
              <w:left w:val="single" w:sz="4" w:space="0" w:color="auto"/>
              <w:bottom w:val="nil"/>
              <w:right w:val="single" w:sz="4" w:space="0" w:color="auto"/>
            </w:tcBorders>
            <w:shd w:val="clear" w:color="auto" w:fill="auto"/>
            <w:noWrap/>
            <w:vAlign w:val="center"/>
            <w:hideMark/>
          </w:tcPr>
          <w:p w14:paraId="123606C7"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DAEC7C6"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36.000,00 </w:t>
            </w:r>
          </w:p>
        </w:tc>
        <w:tc>
          <w:tcPr>
            <w:tcW w:w="698" w:type="pct"/>
            <w:tcBorders>
              <w:top w:val="nil"/>
              <w:left w:val="nil"/>
              <w:bottom w:val="nil"/>
              <w:right w:val="single" w:sz="4" w:space="0" w:color="auto"/>
            </w:tcBorders>
            <w:shd w:val="clear" w:color="auto" w:fill="auto"/>
            <w:noWrap/>
            <w:vAlign w:val="center"/>
            <w:hideMark/>
          </w:tcPr>
          <w:p w14:paraId="7532DBB5"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1.846.871,22 </w:t>
            </w:r>
          </w:p>
        </w:tc>
      </w:tr>
      <w:tr w:rsidR="00BE5714" w:rsidRPr="001608C4" w14:paraId="0B98291E"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5EFF4C96"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e) Otros activos financieros.</w:t>
            </w:r>
          </w:p>
        </w:tc>
        <w:tc>
          <w:tcPr>
            <w:tcW w:w="465" w:type="pct"/>
            <w:tcBorders>
              <w:top w:val="nil"/>
              <w:left w:val="single" w:sz="4" w:space="0" w:color="auto"/>
              <w:bottom w:val="nil"/>
              <w:right w:val="single" w:sz="4" w:space="0" w:color="auto"/>
            </w:tcBorders>
            <w:shd w:val="clear" w:color="auto" w:fill="auto"/>
            <w:noWrap/>
            <w:vAlign w:val="center"/>
            <w:hideMark/>
          </w:tcPr>
          <w:p w14:paraId="0329F50E"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7BAAD666"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36.000,00 </w:t>
            </w:r>
          </w:p>
        </w:tc>
        <w:tc>
          <w:tcPr>
            <w:tcW w:w="698" w:type="pct"/>
            <w:tcBorders>
              <w:top w:val="nil"/>
              <w:left w:val="nil"/>
              <w:bottom w:val="nil"/>
              <w:right w:val="single" w:sz="4" w:space="0" w:color="auto"/>
            </w:tcBorders>
            <w:shd w:val="clear" w:color="auto" w:fill="auto"/>
            <w:noWrap/>
            <w:vAlign w:val="center"/>
            <w:hideMark/>
          </w:tcPr>
          <w:p w14:paraId="63F00FB9"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1.846.871,22 </w:t>
            </w:r>
          </w:p>
        </w:tc>
      </w:tr>
      <w:tr w:rsidR="00BE5714" w:rsidRPr="001608C4" w14:paraId="40A4AE54"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676E0F81"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8. Flujos de efectivo de las actividades de inversión</w:t>
            </w:r>
          </w:p>
        </w:tc>
        <w:tc>
          <w:tcPr>
            <w:tcW w:w="465" w:type="pct"/>
            <w:tcBorders>
              <w:top w:val="nil"/>
              <w:left w:val="single" w:sz="4" w:space="0" w:color="auto"/>
              <w:bottom w:val="nil"/>
              <w:right w:val="single" w:sz="4" w:space="0" w:color="auto"/>
            </w:tcBorders>
            <w:shd w:val="clear" w:color="auto" w:fill="auto"/>
            <w:noWrap/>
            <w:vAlign w:val="center"/>
            <w:hideMark/>
          </w:tcPr>
          <w:p w14:paraId="0455BD21"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684558BA"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(20.823,41)</w:t>
            </w:r>
          </w:p>
        </w:tc>
        <w:tc>
          <w:tcPr>
            <w:tcW w:w="698" w:type="pct"/>
            <w:tcBorders>
              <w:top w:val="nil"/>
              <w:left w:val="nil"/>
              <w:bottom w:val="nil"/>
              <w:right w:val="single" w:sz="4" w:space="0" w:color="auto"/>
            </w:tcBorders>
            <w:shd w:val="clear" w:color="auto" w:fill="auto"/>
            <w:noWrap/>
            <w:vAlign w:val="center"/>
            <w:hideMark/>
          </w:tcPr>
          <w:p w14:paraId="4769CB2F"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1.795.883,22 </w:t>
            </w:r>
          </w:p>
        </w:tc>
      </w:tr>
      <w:tr w:rsidR="00BE5714" w:rsidRPr="001608C4" w14:paraId="40B9E0A2" w14:textId="77777777" w:rsidTr="003416FB">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08C0A7B5"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C) FLUJOS DE EFECTIVO DE LAS ACTIVIDADES DE FINANCIACIÓN</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8067"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15C0CB5C"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20463708" w14:textId="77777777" w:rsidR="00BE5714" w:rsidRPr="001608C4" w:rsidRDefault="00BE5714" w:rsidP="00BE5714">
            <w:pPr>
              <w:widowControl/>
              <w:autoSpaceDE/>
              <w:autoSpaceDN/>
              <w:adjustRightInd/>
              <w:rPr>
                <w:rFonts w:ascii="Cambria" w:hAnsi="Cambria"/>
                <w:b/>
                <w:bCs/>
                <w:color w:val="0000FF"/>
                <w:sz w:val="18"/>
                <w:szCs w:val="18"/>
              </w:rPr>
            </w:pPr>
            <w:r w:rsidRPr="001608C4">
              <w:rPr>
                <w:rFonts w:ascii="Cambria" w:hAnsi="Cambria"/>
                <w:b/>
                <w:bCs/>
                <w:color w:val="0000FF"/>
                <w:sz w:val="18"/>
                <w:szCs w:val="18"/>
              </w:rPr>
              <w:t> </w:t>
            </w:r>
          </w:p>
        </w:tc>
      </w:tr>
      <w:tr w:rsidR="00BE5714" w:rsidRPr="001608C4" w14:paraId="0992F7AC"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35EB7F91"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10. Cobros y Pagos por instrumentos de pasivo financiero</w:t>
            </w:r>
          </w:p>
        </w:tc>
        <w:tc>
          <w:tcPr>
            <w:tcW w:w="465" w:type="pct"/>
            <w:tcBorders>
              <w:top w:val="nil"/>
              <w:left w:val="single" w:sz="4" w:space="0" w:color="auto"/>
              <w:bottom w:val="nil"/>
              <w:right w:val="single" w:sz="4" w:space="0" w:color="auto"/>
            </w:tcBorders>
            <w:shd w:val="clear" w:color="auto" w:fill="auto"/>
            <w:noWrap/>
            <w:vAlign w:val="center"/>
            <w:hideMark/>
          </w:tcPr>
          <w:p w14:paraId="2689B9EA"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0CAE107D"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(56.177,14)</w:t>
            </w:r>
          </w:p>
        </w:tc>
        <w:tc>
          <w:tcPr>
            <w:tcW w:w="698" w:type="pct"/>
            <w:tcBorders>
              <w:top w:val="nil"/>
              <w:left w:val="nil"/>
              <w:bottom w:val="nil"/>
              <w:right w:val="single" w:sz="4" w:space="0" w:color="auto"/>
            </w:tcBorders>
            <w:shd w:val="clear" w:color="auto" w:fill="auto"/>
            <w:noWrap/>
            <w:vAlign w:val="center"/>
            <w:hideMark/>
          </w:tcPr>
          <w:p w14:paraId="0CBB5405"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(172.354,32)</w:t>
            </w:r>
          </w:p>
        </w:tc>
      </w:tr>
      <w:tr w:rsidR="00BE5714" w:rsidRPr="001608C4" w14:paraId="320227D8"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66342945"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a) Emisión</w:t>
            </w:r>
          </w:p>
        </w:tc>
        <w:tc>
          <w:tcPr>
            <w:tcW w:w="465" w:type="pct"/>
            <w:tcBorders>
              <w:top w:val="nil"/>
              <w:left w:val="single" w:sz="4" w:space="0" w:color="auto"/>
              <w:bottom w:val="nil"/>
              <w:right w:val="single" w:sz="4" w:space="0" w:color="auto"/>
            </w:tcBorders>
            <w:shd w:val="clear" w:color="auto" w:fill="auto"/>
            <w:noWrap/>
            <w:vAlign w:val="center"/>
            <w:hideMark/>
          </w:tcPr>
          <w:p w14:paraId="7A202736"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3E8D3914"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 xml:space="preserve"> 30.000,00 </w:t>
            </w:r>
          </w:p>
        </w:tc>
        <w:tc>
          <w:tcPr>
            <w:tcW w:w="698" w:type="pct"/>
            <w:tcBorders>
              <w:top w:val="nil"/>
              <w:left w:val="nil"/>
              <w:bottom w:val="nil"/>
              <w:right w:val="single" w:sz="4" w:space="0" w:color="auto"/>
            </w:tcBorders>
            <w:shd w:val="clear" w:color="auto" w:fill="auto"/>
            <w:noWrap/>
            <w:vAlign w:val="center"/>
            <w:hideMark/>
          </w:tcPr>
          <w:p w14:paraId="4AD394D9"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(172.354,32)</w:t>
            </w:r>
          </w:p>
        </w:tc>
      </w:tr>
      <w:tr w:rsidR="00BE5714" w:rsidRPr="001608C4" w14:paraId="7B4466C8"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17BF493C"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3. Deudas con empresas del grupo y asociadas.</w:t>
            </w:r>
          </w:p>
        </w:tc>
        <w:tc>
          <w:tcPr>
            <w:tcW w:w="465" w:type="pct"/>
            <w:tcBorders>
              <w:top w:val="nil"/>
              <w:left w:val="single" w:sz="4" w:space="0" w:color="auto"/>
              <w:bottom w:val="nil"/>
              <w:right w:val="single" w:sz="4" w:space="0" w:color="auto"/>
            </w:tcBorders>
            <w:shd w:val="clear" w:color="auto" w:fill="auto"/>
            <w:noWrap/>
            <w:vAlign w:val="center"/>
            <w:hideMark/>
          </w:tcPr>
          <w:p w14:paraId="20694C61"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8</w:t>
            </w:r>
          </w:p>
        </w:tc>
        <w:tc>
          <w:tcPr>
            <w:tcW w:w="698" w:type="pct"/>
            <w:tcBorders>
              <w:top w:val="nil"/>
              <w:left w:val="nil"/>
              <w:bottom w:val="nil"/>
              <w:right w:val="single" w:sz="4" w:space="0" w:color="auto"/>
            </w:tcBorders>
            <w:shd w:val="clear" w:color="auto" w:fill="auto"/>
            <w:noWrap/>
            <w:vAlign w:val="center"/>
            <w:hideMark/>
          </w:tcPr>
          <w:p w14:paraId="02A3E6F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30.000,00 </w:t>
            </w:r>
          </w:p>
        </w:tc>
        <w:tc>
          <w:tcPr>
            <w:tcW w:w="698" w:type="pct"/>
            <w:tcBorders>
              <w:top w:val="nil"/>
              <w:left w:val="nil"/>
              <w:bottom w:val="nil"/>
              <w:right w:val="single" w:sz="4" w:space="0" w:color="auto"/>
            </w:tcBorders>
            <w:shd w:val="clear" w:color="auto" w:fill="auto"/>
            <w:noWrap/>
            <w:vAlign w:val="center"/>
            <w:hideMark/>
          </w:tcPr>
          <w:p w14:paraId="64DFDD9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 xml:space="preserve"> 0,00 </w:t>
            </w:r>
          </w:p>
        </w:tc>
      </w:tr>
      <w:tr w:rsidR="00BE5714" w:rsidRPr="001608C4" w14:paraId="77925B4A"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0A280CB5"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b) Devoluciones y amortización</w:t>
            </w:r>
          </w:p>
        </w:tc>
        <w:tc>
          <w:tcPr>
            <w:tcW w:w="465" w:type="pct"/>
            <w:tcBorders>
              <w:top w:val="nil"/>
              <w:left w:val="single" w:sz="4" w:space="0" w:color="auto"/>
              <w:bottom w:val="nil"/>
              <w:right w:val="single" w:sz="4" w:space="0" w:color="auto"/>
            </w:tcBorders>
            <w:shd w:val="clear" w:color="auto" w:fill="auto"/>
            <w:noWrap/>
            <w:vAlign w:val="center"/>
            <w:hideMark/>
          </w:tcPr>
          <w:p w14:paraId="3D7C2D95"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FED7EF3"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(86.177,14)</w:t>
            </w:r>
          </w:p>
        </w:tc>
        <w:tc>
          <w:tcPr>
            <w:tcW w:w="698" w:type="pct"/>
            <w:tcBorders>
              <w:top w:val="nil"/>
              <w:left w:val="nil"/>
              <w:bottom w:val="nil"/>
              <w:right w:val="single" w:sz="4" w:space="0" w:color="auto"/>
            </w:tcBorders>
            <w:shd w:val="clear" w:color="auto" w:fill="auto"/>
            <w:noWrap/>
            <w:vAlign w:val="center"/>
            <w:hideMark/>
          </w:tcPr>
          <w:p w14:paraId="352C179B"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(172.354,32)</w:t>
            </w:r>
          </w:p>
        </w:tc>
      </w:tr>
      <w:tr w:rsidR="00BE5714" w:rsidRPr="001608C4" w14:paraId="5CD1D12E"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44C518BF"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3. Deudas con empresas del grupo y asociadas.</w:t>
            </w:r>
          </w:p>
        </w:tc>
        <w:tc>
          <w:tcPr>
            <w:tcW w:w="465" w:type="pct"/>
            <w:tcBorders>
              <w:top w:val="nil"/>
              <w:left w:val="single" w:sz="4" w:space="0" w:color="auto"/>
              <w:bottom w:val="nil"/>
              <w:right w:val="single" w:sz="4" w:space="0" w:color="auto"/>
            </w:tcBorders>
            <w:shd w:val="clear" w:color="auto" w:fill="auto"/>
            <w:noWrap/>
            <w:vAlign w:val="center"/>
            <w:hideMark/>
          </w:tcPr>
          <w:p w14:paraId="585342C2"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0D34F17C"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(86.177,14)</w:t>
            </w:r>
          </w:p>
        </w:tc>
        <w:tc>
          <w:tcPr>
            <w:tcW w:w="698" w:type="pct"/>
            <w:tcBorders>
              <w:top w:val="nil"/>
              <w:left w:val="nil"/>
              <w:bottom w:val="nil"/>
              <w:right w:val="single" w:sz="4" w:space="0" w:color="auto"/>
            </w:tcBorders>
            <w:shd w:val="clear" w:color="auto" w:fill="auto"/>
            <w:noWrap/>
            <w:vAlign w:val="center"/>
            <w:hideMark/>
          </w:tcPr>
          <w:p w14:paraId="4320CFD4" w14:textId="77777777" w:rsidR="00BE5714" w:rsidRPr="001608C4" w:rsidRDefault="00BE5714" w:rsidP="00BE5714">
            <w:pPr>
              <w:widowControl/>
              <w:autoSpaceDE/>
              <w:autoSpaceDN/>
              <w:adjustRightInd/>
              <w:jc w:val="right"/>
              <w:rPr>
                <w:rFonts w:ascii="Cambria" w:hAnsi="Cambria"/>
                <w:sz w:val="18"/>
                <w:szCs w:val="18"/>
              </w:rPr>
            </w:pPr>
            <w:r w:rsidRPr="001608C4">
              <w:rPr>
                <w:rFonts w:ascii="Cambria" w:hAnsi="Cambria"/>
                <w:sz w:val="18"/>
                <w:szCs w:val="18"/>
              </w:rPr>
              <w:t>(172.354,32)</w:t>
            </w:r>
          </w:p>
        </w:tc>
      </w:tr>
      <w:tr w:rsidR="00BE5714" w:rsidRPr="001608C4" w14:paraId="13F9B699"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7852B164"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12. Flujos de efectivo de las actividades de financiación</w:t>
            </w:r>
          </w:p>
        </w:tc>
        <w:tc>
          <w:tcPr>
            <w:tcW w:w="465" w:type="pct"/>
            <w:tcBorders>
              <w:top w:val="nil"/>
              <w:left w:val="single" w:sz="4" w:space="0" w:color="auto"/>
              <w:bottom w:val="nil"/>
              <w:right w:val="single" w:sz="4" w:space="0" w:color="auto"/>
            </w:tcBorders>
            <w:shd w:val="clear" w:color="auto" w:fill="auto"/>
            <w:noWrap/>
            <w:vAlign w:val="center"/>
            <w:hideMark/>
          </w:tcPr>
          <w:p w14:paraId="176C47CF" w14:textId="77777777" w:rsidR="00BE5714" w:rsidRPr="001608C4" w:rsidRDefault="00BE5714" w:rsidP="00BE5714">
            <w:pPr>
              <w:widowControl/>
              <w:autoSpaceDE/>
              <w:autoSpaceDN/>
              <w:adjustRightInd/>
              <w:jc w:val="center"/>
              <w:rPr>
                <w:rFonts w:ascii="Cambria" w:hAnsi="Cambria"/>
                <w:sz w:val="18"/>
                <w:szCs w:val="18"/>
              </w:rPr>
            </w:pPr>
            <w:r w:rsidRPr="001608C4">
              <w:rPr>
                <w:rFonts w:ascii="Cambria" w:hAnsi="Cambria"/>
                <w:sz w:val="18"/>
                <w:szCs w:val="18"/>
              </w:rPr>
              <w:t> </w:t>
            </w:r>
          </w:p>
        </w:tc>
        <w:tc>
          <w:tcPr>
            <w:tcW w:w="698" w:type="pct"/>
            <w:tcBorders>
              <w:top w:val="nil"/>
              <w:left w:val="nil"/>
              <w:bottom w:val="nil"/>
              <w:right w:val="single" w:sz="4" w:space="0" w:color="auto"/>
            </w:tcBorders>
            <w:shd w:val="clear" w:color="auto" w:fill="auto"/>
            <w:noWrap/>
            <w:vAlign w:val="center"/>
            <w:hideMark/>
          </w:tcPr>
          <w:p w14:paraId="300B9B0E"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(56.177,14)</w:t>
            </w:r>
          </w:p>
        </w:tc>
        <w:tc>
          <w:tcPr>
            <w:tcW w:w="698" w:type="pct"/>
            <w:tcBorders>
              <w:top w:val="nil"/>
              <w:left w:val="nil"/>
              <w:bottom w:val="nil"/>
              <w:right w:val="single" w:sz="4" w:space="0" w:color="auto"/>
            </w:tcBorders>
            <w:shd w:val="clear" w:color="auto" w:fill="auto"/>
            <w:noWrap/>
            <w:vAlign w:val="center"/>
            <w:hideMark/>
          </w:tcPr>
          <w:p w14:paraId="48482D2B"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(172.354,32)</w:t>
            </w:r>
          </w:p>
        </w:tc>
      </w:tr>
      <w:tr w:rsidR="00BE5714" w:rsidRPr="001608C4" w14:paraId="4D6587A5" w14:textId="77777777" w:rsidTr="003416FB">
        <w:trPr>
          <w:trHeight w:val="254"/>
        </w:trPr>
        <w:tc>
          <w:tcPr>
            <w:tcW w:w="3140" w:type="pct"/>
            <w:tcBorders>
              <w:top w:val="single" w:sz="4" w:space="0" w:color="auto"/>
              <w:left w:val="single" w:sz="4" w:space="0" w:color="auto"/>
              <w:bottom w:val="single" w:sz="4" w:space="0" w:color="auto"/>
              <w:right w:val="nil"/>
            </w:tcBorders>
            <w:shd w:val="clear" w:color="auto" w:fill="auto"/>
            <w:vAlign w:val="center"/>
            <w:hideMark/>
          </w:tcPr>
          <w:p w14:paraId="6DDEB53D"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D) Efecto de las variaciones de los tipos de cambio</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BE511"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75EF730C"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14:paraId="7E1D8433" w14:textId="77777777" w:rsidR="00BE5714" w:rsidRPr="001608C4" w:rsidRDefault="00BE5714" w:rsidP="00BE5714">
            <w:pPr>
              <w:widowControl/>
              <w:autoSpaceDE/>
              <w:autoSpaceDN/>
              <w:adjustRightInd/>
              <w:rPr>
                <w:rFonts w:ascii="Cambria" w:hAnsi="Cambria"/>
                <w:b/>
                <w:bCs/>
                <w:color w:val="0000FF"/>
                <w:sz w:val="18"/>
                <w:szCs w:val="18"/>
              </w:rPr>
            </w:pPr>
            <w:r w:rsidRPr="001608C4">
              <w:rPr>
                <w:rFonts w:ascii="Cambria" w:hAnsi="Cambria"/>
                <w:b/>
                <w:bCs/>
                <w:color w:val="0000FF"/>
                <w:sz w:val="18"/>
                <w:szCs w:val="18"/>
              </w:rPr>
              <w:t> </w:t>
            </w:r>
          </w:p>
        </w:tc>
      </w:tr>
      <w:tr w:rsidR="00BE5714" w:rsidRPr="001608C4" w14:paraId="763AFD36" w14:textId="77777777" w:rsidTr="003416FB">
        <w:trPr>
          <w:trHeight w:val="254"/>
        </w:trPr>
        <w:tc>
          <w:tcPr>
            <w:tcW w:w="3140" w:type="pct"/>
            <w:tcBorders>
              <w:top w:val="nil"/>
              <w:left w:val="single" w:sz="4" w:space="0" w:color="auto"/>
              <w:bottom w:val="single" w:sz="4" w:space="0" w:color="auto"/>
              <w:right w:val="nil"/>
            </w:tcBorders>
            <w:shd w:val="clear" w:color="auto" w:fill="auto"/>
            <w:vAlign w:val="center"/>
            <w:hideMark/>
          </w:tcPr>
          <w:p w14:paraId="4B11AD2B"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 xml:space="preserve">E) AUMENTO/DISMINUCIÓN NETA DEL EFECTIVO O EQUIVALENTES </w:t>
            </w:r>
          </w:p>
        </w:tc>
        <w:tc>
          <w:tcPr>
            <w:tcW w:w="465" w:type="pct"/>
            <w:tcBorders>
              <w:top w:val="nil"/>
              <w:left w:val="single" w:sz="4" w:space="0" w:color="auto"/>
              <w:bottom w:val="single" w:sz="4" w:space="0" w:color="auto"/>
              <w:right w:val="single" w:sz="4" w:space="0" w:color="auto"/>
            </w:tcBorders>
            <w:shd w:val="clear" w:color="auto" w:fill="auto"/>
            <w:noWrap/>
            <w:vAlign w:val="center"/>
            <w:hideMark/>
          </w:tcPr>
          <w:p w14:paraId="002D1780"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nil"/>
              <w:right w:val="single" w:sz="4" w:space="0" w:color="auto"/>
            </w:tcBorders>
            <w:shd w:val="clear" w:color="auto" w:fill="auto"/>
            <w:noWrap/>
            <w:vAlign w:val="center"/>
            <w:hideMark/>
          </w:tcPr>
          <w:p w14:paraId="5CEB4AE9"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(745.999,08)</w:t>
            </w:r>
          </w:p>
        </w:tc>
        <w:tc>
          <w:tcPr>
            <w:tcW w:w="698" w:type="pct"/>
            <w:tcBorders>
              <w:top w:val="nil"/>
              <w:left w:val="nil"/>
              <w:bottom w:val="nil"/>
              <w:right w:val="single" w:sz="4" w:space="0" w:color="auto"/>
            </w:tcBorders>
            <w:shd w:val="clear" w:color="auto" w:fill="auto"/>
            <w:noWrap/>
            <w:vAlign w:val="center"/>
            <w:hideMark/>
          </w:tcPr>
          <w:p w14:paraId="49A5BC70"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(488.205,42)</w:t>
            </w:r>
          </w:p>
        </w:tc>
      </w:tr>
      <w:tr w:rsidR="00BE5714" w:rsidRPr="001608C4" w14:paraId="74BBC60D" w14:textId="77777777" w:rsidTr="003416FB">
        <w:trPr>
          <w:trHeight w:val="254"/>
        </w:trPr>
        <w:tc>
          <w:tcPr>
            <w:tcW w:w="3140" w:type="pct"/>
            <w:tcBorders>
              <w:top w:val="nil"/>
              <w:left w:val="single" w:sz="4" w:space="0" w:color="auto"/>
              <w:bottom w:val="nil"/>
              <w:right w:val="nil"/>
            </w:tcBorders>
            <w:shd w:val="clear" w:color="auto" w:fill="auto"/>
            <w:vAlign w:val="center"/>
            <w:hideMark/>
          </w:tcPr>
          <w:p w14:paraId="5010E95E"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Efectivo o equivalentes al comienzo del ejercicio.</w:t>
            </w:r>
          </w:p>
        </w:tc>
        <w:tc>
          <w:tcPr>
            <w:tcW w:w="465" w:type="pct"/>
            <w:tcBorders>
              <w:top w:val="nil"/>
              <w:left w:val="single" w:sz="4" w:space="0" w:color="auto"/>
              <w:bottom w:val="nil"/>
              <w:right w:val="single" w:sz="4" w:space="0" w:color="auto"/>
            </w:tcBorders>
            <w:shd w:val="clear" w:color="auto" w:fill="auto"/>
            <w:noWrap/>
            <w:vAlign w:val="center"/>
            <w:hideMark/>
          </w:tcPr>
          <w:p w14:paraId="33D59297"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single" w:sz="4" w:space="0" w:color="auto"/>
              <w:left w:val="nil"/>
              <w:bottom w:val="nil"/>
              <w:right w:val="single" w:sz="4" w:space="0" w:color="auto"/>
            </w:tcBorders>
            <w:shd w:val="clear" w:color="auto" w:fill="auto"/>
            <w:noWrap/>
            <w:vAlign w:val="center"/>
            <w:hideMark/>
          </w:tcPr>
          <w:p w14:paraId="236583B9"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377.183,68</w:t>
            </w:r>
          </w:p>
        </w:tc>
        <w:tc>
          <w:tcPr>
            <w:tcW w:w="698" w:type="pct"/>
            <w:tcBorders>
              <w:top w:val="single" w:sz="4" w:space="0" w:color="auto"/>
              <w:left w:val="nil"/>
              <w:bottom w:val="nil"/>
              <w:right w:val="single" w:sz="4" w:space="0" w:color="auto"/>
            </w:tcBorders>
            <w:shd w:val="clear" w:color="auto" w:fill="auto"/>
            <w:noWrap/>
            <w:vAlign w:val="center"/>
            <w:hideMark/>
          </w:tcPr>
          <w:p w14:paraId="087B1405"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0,00</w:t>
            </w:r>
          </w:p>
        </w:tc>
      </w:tr>
      <w:tr w:rsidR="00BE5714" w:rsidRPr="001608C4" w14:paraId="23B78636" w14:textId="77777777" w:rsidTr="003416FB">
        <w:trPr>
          <w:trHeight w:val="254"/>
        </w:trPr>
        <w:tc>
          <w:tcPr>
            <w:tcW w:w="3140" w:type="pct"/>
            <w:tcBorders>
              <w:top w:val="nil"/>
              <w:left w:val="single" w:sz="4" w:space="0" w:color="auto"/>
              <w:bottom w:val="single" w:sz="4" w:space="0" w:color="auto"/>
              <w:right w:val="nil"/>
            </w:tcBorders>
            <w:shd w:val="clear" w:color="auto" w:fill="auto"/>
            <w:vAlign w:val="center"/>
            <w:hideMark/>
          </w:tcPr>
          <w:p w14:paraId="62A9D070" w14:textId="77777777" w:rsidR="00BE5714" w:rsidRPr="001608C4" w:rsidRDefault="00BE5714" w:rsidP="00BE5714">
            <w:pPr>
              <w:widowControl/>
              <w:autoSpaceDE/>
              <w:autoSpaceDN/>
              <w:adjustRightInd/>
              <w:rPr>
                <w:rFonts w:ascii="Cambria" w:hAnsi="Cambria"/>
                <w:b/>
                <w:bCs/>
                <w:sz w:val="18"/>
                <w:szCs w:val="18"/>
              </w:rPr>
            </w:pPr>
            <w:r w:rsidRPr="001608C4">
              <w:rPr>
                <w:rFonts w:ascii="Cambria" w:hAnsi="Cambria"/>
                <w:b/>
                <w:bCs/>
                <w:sz w:val="18"/>
                <w:szCs w:val="18"/>
              </w:rPr>
              <w:t>Efectivo o equivalentes al final del ejercicio.</w:t>
            </w:r>
          </w:p>
        </w:tc>
        <w:tc>
          <w:tcPr>
            <w:tcW w:w="465" w:type="pct"/>
            <w:tcBorders>
              <w:top w:val="nil"/>
              <w:left w:val="single" w:sz="4" w:space="0" w:color="auto"/>
              <w:bottom w:val="single" w:sz="4" w:space="0" w:color="auto"/>
              <w:right w:val="single" w:sz="4" w:space="0" w:color="auto"/>
            </w:tcBorders>
            <w:shd w:val="clear" w:color="auto" w:fill="auto"/>
            <w:noWrap/>
            <w:vAlign w:val="center"/>
            <w:hideMark/>
          </w:tcPr>
          <w:p w14:paraId="27AE524C" w14:textId="77777777" w:rsidR="00BE5714" w:rsidRPr="001608C4" w:rsidRDefault="00BE5714" w:rsidP="00BE5714">
            <w:pPr>
              <w:widowControl/>
              <w:autoSpaceDE/>
              <w:autoSpaceDN/>
              <w:adjustRightInd/>
              <w:jc w:val="center"/>
              <w:rPr>
                <w:rFonts w:ascii="Cambria" w:hAnsi="Cambria"/>
                <w:b/>
                <w:bCs/>
                <w:sz w:val="18"/>
                <w:szCs w:val="18"/>
              </w:rPr>
            </w:pPr>
            <w:r w:rsidRPr="001608C4">
              <w:rPr>
                <w:rFonts w:ascii="Cambria" w:hAnsi="Cambria"/>
                <w:b/>
                <w:bCs/>
                <w:sz w:val="18"/>
                <w:szCs w:val="18"/>
              </w:rPr>
              <w:t> </w:t>
            </w:r>
          </w:p>
        </w:tc>
        <w:tc>
          <w:tcPr>
            <w:tcW w:w="698" w:type="pct"/>
            <w:tcBorders>
              <w:top w:val="nil"/>
              <w:left w:val="nil"/>
              <w:bottom w:val="single" w:sz="4" w:space="0" w:color="auto"/>
              <w:right w:val="single" w:sz="4" w:space="0" w:color="auto"/>
            </w:tcBorders>
            <w:shd w:val="clear" w:color="auto" w:fill="auto"/>
            <w:noWrap/>
            <w:vAlign w:val="center"/>
            <w:hideMark/>
          </w:tcPr>
          <w:p w14:paraId="6597FFE1"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1.123.182,76</w:t>
            </w:r>
          </w:p>
        </w:tc>
        <w:tc>
          <w:tcPr>
            <w:tcW w:w="698" w:type="pct"/>
            <w:tcBorders>
              <w:top w:val="nil"/>
              <w:left w:val="nil"/>
              <w:bottom w:val="single" w:sz="4" w:space="0" w:color="auto"/>
              <w:right w:val="single" w:sz="4" w:space="0" w:color="auto"/>
            </w:tcBorders>
            <w:shd w:val="clear" w:color="auto" w:fill="auto"/>
            <w:noWrap/>
            <w:vAlign w:val="center"/>
            <w:hideMark/>
          </w:tcPr>
          <w:p w14:paraId="13404584" w14:textId="77777777" w:rsidR="00BE5714" w:rsidRPr="001608C4" w:rsidRDefault="00BE5714" w:rsidP="00BE5714">
            <w:pPr>
              <w:widowControl/>
              <w:autoSpaceDE/>
              <w:autoSpaceDN/>
              <w:adjustRightInd/>
              <w:jc w:val="right"/>
              <w:rPr>
                <w:rFonts w:ascii="Cambria" w:hAnsi="Cambria"/>
                <w:b/>
                <w:bCs/>
                <w:sz w:val="18"/>
                <w:szCs w:val="18"/>
              </w:rPr>
            </w:pPr>
            <w:r w:rsidRPr="001608C4">
              <w:rPr>
                <w:rFonts w:ascii="Cambria" w:hAnsi="Cambria"/>
                <w:b/>
                <w:bCs/>
                <w:sz w:val="18"/>
                <w:szCs w:val="18"/>
              </w:rPr>
              <w:t>377.183,68</w:t>
            </w:r>
          </w:p>
        </w:tc>
      </w:tr>
      <w:tr w:rsidR="00BE5714" w:rsidRPr="001608C4" w14:paraId="21060D9C" w14:textId="77777777" w:rsidTr="003416FB">
        <w:trPr>
          <w:trHeight w:val="254"/>
        </w:trPr>
        <w:tc>
          <w:tcPr>
            <w:tcW w:w="3140" w:type="pct"/>
            <w:tcBorders>
              <w:top w:val="nil"/>
              <w:left w:val="nil"/>
              <w:bottom w:val="nil"/>
              <w:right w:val="nil"/>
            </w:tcBorders>
            <w:shd w:val="clear" w:color="auto" w:fill="auto"/>
            <w:vAlign w:val="center"/>
            <w:hideMark/>
          </w:tcPr>
          <w:p w14:paraId="52A4945E" w14:textId="77777777" w:rsidR="00BE5714" w:rsidRPr="001608C4" w:rsidRDefault="00BE5714" w:rsidP="00BE5714">
            <w:pPr>
              <w:widowControl/>
              <w:autoSpaceDE/>
              <w:autoSpaceDN/>
              <w:adjustRightInd/>
              <w:jc w:val="right"/>
              <w:rPr>
                <w:rFonts w:ascii="Cambria" w:hAnsi="Cambria"/>
                <w:b/>
                <w:bCs/>
                <w:sz w:val="18"/>
                <w:szCs w:val="18"/>
              </w:rPr>
            </w:pPr>
          </w:p>
        </w:tc>
        <w:tc>
          <w:tcPr>
            <w:tcW w:w="465" w:type="pct"/>
            <w:tcBorders>
              <w:top w:val="nil"/>
              <w:left w:val="nil"/>
              <w:bottom w:val="nil"/>
              <w:right w:val="nil"/>
            </w:tcBorders>
            <w:shd w:val="clear" w:color="auto" w:fill="auto"/>
            <w:noWrap/>
            <w:vAlign w:val="center"/>
            <w:hideMark/>
          </w:tcPr>
          <w:p w14:paraId="0EDCB052" w14:textId="77777777" w:rsidR="00BE5714" w:rsidRPr="001608C4" w:rsidRDefault="00BE5714" w:rsidP="00BE5714">
            <w:pPr>
              <w:widowControl/>
              <w:autoSpaceDE/>
              <w:autoSpaceDN/>
              <w:adjustRightInd/>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4364E8EB" w14:textId="77777777" w:rsidR="00BE5714" w:rsidRPr="001608C4" w:rsidRDefault="00BE5714" w:rsidP="00BE5714">
            <w:pPr>
              <w:widowControl/>
              <w:autoSpaceDE/>
              <w:autoSpaceDN/>
              <w:adjustRightInd/>
              <w:jc w:val="center"/>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114862E1" w14:textId="77777777" w:rsidR="00BE5714" w:rsidRPr="001608C4" w:rsidRDefault="00BE5714" w:rsidP="00BE5714">
            <w:pPr>
              <w:widowControl/>
              <w:autoSpaceDE/>
              <w:autoSpaceDN/>
              <w:adjustRightInd/>
              <w:rPr>
                <w:rFonts w:ascii="Times New Roman" w:hAnsi="Times New Roman" w:cs="Times New Roman"/>
                <w:sz w:val="18"/>
                <w:szCs w:val="18"/>
              </w:rPr>
            </w:pPr>
          </w:p>
        </w:tc>
      </w:tr>
      <w:tr w:rsidR="00BE5714" w:rsidRPr="001608C4" w14:paraId="0D0A599E" w14:textId="77777777" w:rsidTr="003416FB">
        <w:trPr>
          <w:trHeight w:val="254"/>
        </w:trPr>
        <w:tc>
          <w:tcPr>
            <w:tcW w:w="3140" w:type="pct"/>
            <w:tcBorders>
              <w:top w:val="nil"/>
              <w:left w:val="nil"/>
              <w:bottom w:val="nil"/>
              <w:right w:val="nil"/>
            </w:tcBorders>
            <w:shd w:val="clear" w:color="auto" w:fill="auto"/>
            <w:vAlign w:val="center"/>
            <w:hideMark/>
          </w:tcPr>
          <w:p w14:paraId="0044D22C" w14:textId="77777777" w:rsidR="00BE5714" w:rsidRPr="001608C4" w:rsidRDefault="00BE5714" w:rsidP="00BE5714">
            <w:pPr>
              <w:widowControl/>
              <w:autoSpaceDE/>
              <w:autoSpaceDN/>
              <w:adjustRightInd/>
              <w:rPr>
                <w:rFonts w:ascii="Cambria" w:hAnsi="Cambria"/>
                <w:sz w:val="18"/>
                <w:szCs w:val="18"/>
              </w:rPr>
            </w:pPr>
            <w:r w:rsidRPr="001608C4">
              <w:rPr>
                <w:rFonts w:ascii="Cambria" w:hAnsi="Cambria"/>
                <w:sz w:val="18"/>
                <w:szCs w:val="18"/>
              </w:rPr>
              <w:t>Las notas adjuntas forman parte integrante de las cuentas anuales.</w:t>
            </w:r>
          </w:p>
        </w:tc>
        <w:tc>
          <w:tcPr>
            <w:tcW w:w="465" w:type="pct"/>
            <w:tcBorders>
              <w:top w:val="nil"/>
              <w:left w:val="nil"/>
              <w:bottom w:val="nil"/>
              <w:right w:val="nil"/>
            </w:tcBorders>
            <w:shd w:val="clear" w:color="auto" w:fill="auto"/>
            <w:noWrap/>
            <w:vAlign w:val="center"/>
            <w:hideMark/>
          </w:tcPr>
          <w:p w14:paraId="6B3F93CF" w14:textId="77777777" w:rsidR="00BE5714" w:rsidRPr="001608C4" w:rsidRDefault="00BE5714" w:rsidP="00BE5714">
            <w:pPr>
              <w:widowControl/>
              <w:autoSpaceDE/>
              <w:autoSpaceDN/>
              <w:adjustRightInd/>
              <w:rPr>
                <w:rFonts w:ascii="Cambria" w:hAnsi="Cambria"/>
                <w:sz w:val="18"/>
                <w:szCs w:val="18"/>
              </w:rPr>
            </w:pPr>
          </w:p>
        </w:tc>
        <w:tc>
          <w:tcPr>
            <w:tcW w:w="698" w:type="pct"/>
            <w:tcBorders>
              <w:top w:val="nil"/>
              <w:left w:val="nil"/>
              <w:bottom w:val="nil"/>
              <w:right w:val="nil"/>
            </w:tcBorders>
            <w:shd w:val="clear" w:color="auto" w:fill="auto"/>
            <w:noWrap/>
            <w:vAlign w:val="center"/>
            <w:hideMark/>
          </w:tcPr>
          <w:p w14:paraId="01166464" w14:textId="77777777" w:rsidR="00BE5714" w:rsidRPr="001608C4" w:rsidRDefault="00BE5714" w:rsidP="00BE5714">
            <w:pPr>
              <w:widowControl/>
              <w:autoSpaceDE/>
              <w:autoSpaceDN/>
              <w:adjustRightInd/>
              <w:jc w:val="center"/>
              <w:rPr>
                <w:rFonts w:ascii="Times New Roman" w:hAnsi="Times New Roman" w:cs="Times New Roman"/>
                <w:sz w:val="18"/>
                <w:szCs w:val="18"/>
              </w:rPr>
            </w:pPr>
          </w:p>
        </w:tc>
        <w:tc>
          <w:tcPr>
            <w:tcW w:w="698" w:type="pct"/>
            <w:tcBorders>
              <w:top w:val="nil"/>
              <w:left w:val="nil"/>
              <w:bottom w:val="nil"/>
              <w:right w:val="nil"/>
            </w:tcBorders>
            <w:shd w:val="clear" w:color="auto" w:fill="auto"/>
            <w:noWrap/>
            <w:vAlign w:val="center"/>
            <w:hideMark/>
          </w:tcPr>
          <w:p w14:paraId="5315F950" w14:textId="77777777" w:rsidR="00BE5714" w:rsidRPr="001608C4" w:rsidRDefault="00BE5714" w:rsidP="00BE5714">
            <w:pPr>
              <w:widowControl/>
              <w:autoSpaceDE/>
              <w:autoSpaceDN/>
              <w:adjustRightInd/>
              <w:rPr>
                <w:rFonts w:ascii="Times New Roman" w:hAnsi="Times New Roman" w:cs="Times New Roman"/>
                <w:sz w:val="18"/>
                <w:szCs w:val="18"/>
              </w:rPr>
            </w:pPr>
          </w:p>
        </w:tc>
      </w:tr>
    </w:tbl>
    <w:p w14:paraId="57AFB907" w14:textId="77777777" w:rsidR="00BE5714" w:rsidRDefault="00BE5714"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6806069"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2EA6F80C"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084FF251" w14:textId="77777777" w:rsidR="003416FB" w:rsidRDefault="003416FB" w:rsidP="007B50AC">
      <w:pPr>
        <w:shd w:val="clear" w:color="auto" w:fill="FFFFFF"/>
        <w:tabs>
          <w:tab w:val="left" w:pos="851"/>
          <w:tab w:val="left" w:pos="993"/>
        </w:tabs>
        <w:spacing w:before="360"/>
        <w:ind w:right="14" w:firstLine="708"/>
        <w:jc w:val="both"/>
        <w:rPr>
          <w:rFonts w:ascii="Times New Roman" w:hAnsi="Times New Roman" w:cs="Times New Roman"/>
          <w:b/>
          <w:bCs/>
          <w:spacing w:val="-4"/>
          <w:sz w:val="22"/>
          <w:szCs w:val="22"/>
          <w:lang w:val="es-ES_tradnl" w:eastAsia="es-ES_tradnl"/>
        </w:rPr>
      </w:pPr>
    </w:p>
    <w:p w14:paraId="67A16B18" w14:textId="55DB433F" w:rsidR="006C0067" w:rsidRPr="00C8275B" w:rsidRDefault="006C0067" w:rsidP="007B50AC">
      <w:pPr>
        <w:shd w:val="clear" w:color="auto" w:fill="FFFFFF"/>
        <w:tabs>
          <w:tab w:val="left" w:pos="851"/>
          <w:tab w:val="left" w:pos="993"/>
        </w:tabs>
        <w:spacing w:before="360"/>
        <w:ind w:right="14" w:firstLine="708"/>
        <w:jc w:val="both"/>
        <w:rPr>
          <w:rFonts w:ascii="Times New Roman" w:hAnsi="Times New Roman" w:cs="Times New Roman"/>
          <w:spacing w:val="-2"/>
          <w:sz w:val="22"/>
          <w:szCs w:val="22"/>
          <w:lang w:val="es-ES_tradnl" w:eastAsia="es-ES_tradnl"/>
        </w:rPr>
      </w:pPr>
      <w:r w:rsidRPr="00C8275B">
        <w:rPr>
          <w:rFonts w:ascii="Times New Roman" w:hAnsi="Times New Roman" w:cs="Times New Roman"/>
          <w:b/>
          <w:bCs/>
          <w:spacing w:val="-4"/>
          <w:sz w:val="22"/>
          <w:szCs w:val="22"/>
          <w:lang w:val="es-ES_tradnl" w:eastAsia="es-ES_tradnl"/>
        </w:rPr>
        <w:lastRenderedPageBreak/>
        <w:t xml:space="preserve">1. </w:t>
      </w:r>
      <w:r w:rsidRPr="00C8275B">
        <w:rPr>
          <w:rFonts w:ascii="Times New Roman" w:hAnsi="Times New Roman" w:cs="Times New Roman"/>
          <w:b/>
          <w:bCs/>
          <w:spacing w:val="-4"/>
          <w:sz w:val="22"/>
          <w:szCs w:val="22"/>
          <w:u w:val="double"/>
          <w:lang w:val="es-ES_tradnl" w:eastAsia="es-ES_tradnl"/>
        </w:rPr>
        <w:t>ACTIVIDAD DE LA EMPRESA</w:t>
      </w:r>
    </w:p>
    <w:p w14:paraId="369671C7" w14:textId="77777777" w:rsidR="006C0067" w:rsidRPr="00C8275B" w:rsidRDefault="006C0067" w:rsidP="006C0067">
      <w:pPr>
        <w:shd w:val="clear" w:color="auto" w:fill="FFFFFF"/>
        <w:spacing w:before="360"/>
        <w:ind w:left="720" w:right="1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Con fecha 14 de noviembre de 1990 y ante el Notario de Las Palmas Don Alfonso Zapata </w:t>
      </w:r>
      <w:proofErr w:type="spellStart"/>
      <w:r w:rsidRPr="00C8275B">
        <w:rPr>
          <w:rFonts w:ascii="Times New Roman" w:hAnsi="Times New Roman" w:cs="Times New Roman"/>
          <w:spacing w:val="-2"/>
          <w:sz w:val="22"/>
          <w:szCs w:val="22"/>
          <w:lang w:val="es-ES_tradnl" w:eastAsia="es-ES_tradnl"/>
        </w:rPr>
        <w:t>Zapata</w:t>
      </w:r>
      <w:proofErr w:type="spellEnd"/>
      <w:r w:rsidRPr="00C8275B">
        <w:rPr>
          <w:rFonts w:ascii="Times New Roman" w:hAnsi="Times New Roman" w:cs="Times New Roman"/>
          <w:spacing w:val="-2"/>
          <w:sz w:val="22"/>
          <w:szCs w:val="22"/>
          <w:lang w:val="es-ES_tradnl" w:eastAsia="es-ES_tradnl"/>
        </w:rPr>
        <w:t xml:space="preserve">, se constituye la Sociedad Anónima Municipal bajo la denominación inicial de FIESTAS </w:t>
      </w:r>
      <w:r w:rsidRPr="00C8275B">
        <w:rPr>
          <w:rFonts w:ascii="Times New Roman" w:hAnsi="Times New Roman" w:cs="Times New Roman"/>
          <w:sz w:val="22"/>
          <w:szCs w:val="22"/>
          <w:lang w:val="es-ES_tradnl" w:eastAsia="es-ES_tradnl"/>
        </w:rPr>
        <w:t xml:space="preserve">DEL CARNAVAL DE LAS PALMAS, S.A., cambiando a su actual denominación de </w:t>
      </w:r>
      <w:r w:rsidRPr="00C8275B">
        <w:rPr>
          <w:rFonts w:ascii="Times New Roman" w:hAnsi="Times New Roman" w:cs="Times New Roman"/>
          <w:spacing w:val="-2"/>
          <w:sz w:val="22"/>
          <w:szCs w:val="22"/>
          <w:lang w:val="es-ES_tradnl" w:eastAsia="es-ES_tradnl"/>
        </w:rPr>
        <w:t xml:space="preserve">PROMOCIÓN DE LA CIUDAD DE LAS PALMAS DE GRAN CANARIA, S.A. en escritura </w:t>
      </w:r>
      <w:r w:rsidRPr="00C8275B">
        <w:rPr>
          <w:rFonts w:ascii="Times New Roman" w:hAnsi="Times New Roman" w:cs="Times New Roman"/>
          <w:sz w:val="22"/>
          <w:szCs w:val="22"/>
          <w:lang w:val="es-ES_tradnl" w:eastAsia="es-ES_tradnl"/>
        </w:rPr>
        <w:t xml:space="preserve">pública formalizada el 18 de mayo de 2000 ante el Notario de Las Palmas Don Juan Alfonso </w:t>
      </w:r>
      <w:r w:rsidRPr="00C8275B">
        <w:rPr>
          <w:rFonts w:ascii="Times New Roman" w:hAnsi="Times New Roman" w:cs="Times New Roman"/>
          <w:spacing w:val="-1"/>
          <w:sz w:val="22"/>
          <w:szCs w:val="22"/>
          <w:lang w:val="es-ES_tradnl" w:eastAsia="es-ES_tradnl"/>
        </w:rPr>
        <w:t xml:space="preserve">Cabello Cascajo bajo el número de 3825 de su protocolo, íntegramente participada desde su </w:t>
      </w:r>
      <w:r w:rsidRPr="00C8275B">
        <w:rPr>
          <w:rFonts w:ascii="Times New Roman" w:hAnsi="Times New Roman" w:cs="Times New Roman"/>
          <w:spacing w:val="-3"/>
          <w:sz w:val="22"/>
          <w:szCs w:val="22"/>
          <w:lang w:val="es-ES_tradnl" w:eastAsia="es-ES_tradnl"/>
        </w:rPr>
        <w:t>constitución por el Excmo. Ayuntamiento de Las Palmas de Gran Canaria.</w:t>
      </w:r>
      <w:r w:rsidR="008A3FE9" w:rsidRPr="00C8275B">
        <w:rPr>
          <w:rFonts w:ascii="Times New Roman" w:hAnsi="Times New Roman" w:cs="Times New Roman"/>
          <w:spacing w:val="-2"/>
          <w:sz w:val="22"/>
          <w:szCs w:val="22"/>
          <w:lang w:val="es-ES_tradnl" w:eastAsia="es-ES_tradnl"/>
        </w:rPr>
        <w:t xml:space="preserve"> La inscripción de la sociedad se produjo en el Registro Mercantil de Las Palmas y su CIF es A35250737.</w:t>
      </w:r>
    </w:p>
    <w:p w14:paraId="4497B503" w14:textId="77777777" w:rsidR="008A3FE9" w:rsidRPr="00C8275B" w:rsidRDefault="008A3FE9" w:rsidP="006C0067">
      <w:pPr>
        <w:shd w:val="clear" w:color="auto" w:fill="FFFFFF"/>
        <w:spacing w:before="360"/>
        <w:ind w:left="720" w:right="14"/>
        <w:jc w:val="both"/>
        <w:rPr>
          <w:rFonts w:ascii="Times New Roman" w:hAnsi="Times New Roman" w:cs="Times New Roman"/>
          <w:sz w:val="22"/>
          <w:szCs w:val="22"/>
        </w:rPr>
      </w:pPr>
      <w:r w:rsidRPr="00C8275B">
        <w:rPr>
          <w:rFonts w:ascii="Times New Roman" w:hAnsi="Times New Roman" w:cs="Times New Roman"/>
          <w:spacing w:val="-2"/>
          <w:sz w:val="22"/>
          <w:szCs w:val="22"/>
          <w:lang w:val="es-ES_tradnl" w:eastAsia="es-ES_tradnl"/>
        </w:rPr>
        <w:t xml:space="preserve">El domicilio social de la sociedad está situado en la calle León y Castillo número 270, segunda planta, </w:t>
      </w:r>
      <w:proofErr w:type="spellStart"/>
      <w:r w:rsidRPr="00C8275B">
        <w:rPr>
          <w:rFonts w:ascii="Times New Roman" w:hAnsi="Times New Roman" w:cs="Times New Roman"/>
          <w:spacing w:val="-2"/>
          <w:sz w:val="22"/>
          <w:szCs w:val="22"/>
          <w:lang w:val="es-ES_tradnl" w:eastAsia="es-ES_tradnl"/>
        </w:rPr>
        <w:t>có</w:t>
      </w:r>
      <w:proofErr w:type="spellEnd"/>
      <w:r w:rsidRPr="00C8275B">
        <w:rPr>
          <w:rFonts w:ascii="Times New Roman" w:hAnsi="Times New Roman" w:cs="Times New Roman"/>
          <w:spacing w:val="-2"/>
          <w:sz w:val="22"/>
          <w:szCs w:val="22"/>
          <w:lang w:val="es-ES_tradnl" w:eastAsia="es-ES_tradnl"/>
        </w:rPr>
        <w:t xml:space="preserve">- digo postal 35005, de Las Palmas de Gran Canaria (Oficinas Municipales). Siendo el domicilio donde están situadas las oficinas principales de la entidad, en el Palacete Rodríguez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sito en la calle </w:t>
      </w:r>
      <w:r w:rsidR="009238CC" w:rsidRPr="00C8275B">
        <w:rPr>
          <w:rFonts w:ascii="Times New Roman" w:hAnsi="Times New Roman" w:cs="Times New Roman"/>
          <w:spacing w:val="-2"/>
          <w:sz w:val="22"/>
          <w:szCs w:val="22"/>
          <w:lang w:val="es-ES_tradnl" w:eastAsia="es-ES_tradnl"/>
        </w:rPr>
        <w:t xml:space="preserve">Escritor Benito </w:t>
      </w:r>
      <w:r w:rsidRPr="00C8275B">
        <w:rPr>
          <w:rFonts w:ascii="Times New Roman" w:hAnsi="Times New Roman" w:cs="Times New Roman"/>
          <w:spacing w:val="-2"/>
          <w:sz w:val="22"/>
          <w:szCs w:val="22"/>
          <w:lang w:val="es-ES_tradnl" w:eastAsia="es-ES_tradnl"/>
        </w:rPr>
        <w:t>Pérez Gald</w:t>
      </w:r>
      <w:r w:rsidR="00B94045" w:rsidRPr="00C8275B">
        <w:rPr>
          <w:rFonts w:ascii="Times New Roman" w:hAnsi="Times New Roman" w:cs="Times New Roman"/>
          <w:spacing w:val="-2"/>
          <w:sz w:val="22"/>
          <w:szCs w:val="22"/>
          <w:lang w:val="es-ES_tradnl" w:eastAsia="es-ES_tradnl"/>
        </w:rPr>
        <w:t>ó</w:t>
      </w:r>
      <w:r w:rsidRPr="00C8275B">
        <w:rPr>
          <w:rFonts w:ascii="Times New Roman" w:hAnsi="Times New Roman" w:cs="Times New Roman"/>
          <w:spacing w:val="-2"/>
          <w:sz w:val="22"/>
          <w:szCs w:val="22"/>
          <w:lang w:val="es-ES_tradnl" w:eastAsia="es-ES_tradnl"/>
        </w:rPr>
        <w:t xml:space="preserve">s, </w:t>
      </w:r>
      <w:proofErr w:type="spellStart"/>
      <w:r w:rsidRPr="00C8275B">
        <w:rPr>
          <w:rFonts w:ascii="Times New Roman" w:hAnsi="Times New Roman" w:cs="Times New Roman"/>
          <w:spacing w:val="-2"/>
          <w:sz w:val="22"/>
          <w:szCs w:val="22"/>
          <w:lang w:val="es-ES_tradnl" w:eastAsia="es-ES_tradnl"/>
        </w:rPr>
        <w:t>nº</w:t>
      </w:r>
      <w:proofErr w:type="spellEnd"/>
      <w:r w:rsidRPr="00C8275B">
        <w:rPr>
          <w:rFonts w:ascii="Times New Roman" w:hAnsi="Times New Roman" w:cs="Times New Roman"/>
          <w:spacing w:val="-2"/>
          <w:sz w:val="22"/>
          <w:szCs w:val="22"/>
          <w:lang w:val="es-ES_tradnl" w:eastAsia="es-ES_tradnl"/>
        </w:rPr>
        <w:t xml:space="preserve"> 4, de Las Palmas de Gran Canaria.</w:t>
      </w:r>
    </w:p>
    <w:p w14:paraId="0B080624" w14:textId="77777777" w:rsidR="006C0067" w:rsidRPr="00C8275B" w:rsidRDefault="004701DB" w:rsidP="004701DB">
      <w:pPr>
        <w:shd w:val="clear" w:color="auto" w:fill="FFFFFF"/>
        <w:spacing w:before="240"/>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objeto social se modifica el 02 de noviembre del 2021, quedando redactado el artículo 2º de los Estatutos de la Sociedad, en los siguientes términos</w:t>
      </w:r>
      <w:r w:rsidR="006C0067" w:rsidRPr="00C8275B">
        <w:rPr>
          <w:rFonts w:ascii="Times New Roman" w:hAnsi="Times New Roman" w:cs="Times New Roman"/>
          <w:spacing w:val="-2"/>
          <w:sz w:val="22"/>
          <w:szCs w:val="22"/>
          <w:lang w:val="es-ES_tradnl" w:eastAsia="es-ES_tradnl"/>
        </w:rPr>
        <w:t xml:space="preserve">:    </w:t>
      </w:r>
    </w:p>
    <w:p w14:paraId="4DE04295" w14:textId="77777777" w:rsidR="006C0067" w:rsidRPr="00C8275B"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                                                                                                          </w:t>
      </w:r>
    </w:p>
    <w:p w14:paraId="2F672E1D" w14:textId="77777777" w:rsidR="006C0067" w:rsidRPr="00C8275B" w:rsidRDefault="004701DB" w:rsidP="006C006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“La Sociedad tiene por objeto la p</w:t>
      </w:r>
      <w:r w:rsidR="006C0067" w:rsidRPr="00C8275B">
        <w:rPr>
          <w:rFonts w:ascii="Times New Roman" w:hAnsi="Times New Roman" w:cs="Times New Roman"/>
          <w:spacing w:val="-2"/>
          <w:sz w:val="22"/>
          <w:szCs w:val="22"/>
          <w:lang w:val="es-ES_tradnl" w:eastAsia="es-ES_tradnl"/>
        </w:rPr>
        <w:t xml:space="preserve">romoción de la ciudad de Las Palmas de Gran Canaria en la producción, gestión, y </w:t>
      </w:r>
      <w:r w:rsidR="006C0067" w:rsidRPr="00C8275B">
        <w:rPr>
          <w:rFonts w:ascii="Times New Roman" w:hAnsi="Times New Roman" w:cs="Times New Roman"/>
          <w:sz w:val="22"/>
          <w:szCs w:val="22"/>
          <w:lang w:val="es-ES_tradnl" w:eastAsia="es-ES_tradnl"/>
        </w:rPr>
        <w:t xml:space="preserve">difusión de </w:t>
      </w:r>
      <w:r w:rsidRPr="00C8275B">
        <w:rPr>
          <w:rFonts w:ascii="Times New Roman" w:hAnsi="Times New Roman" w:cs="Times New Roman"/>
          <w:sz w:val="22"/>
          <w:szCs w:val="22"/>
          <w:lang w:val="es-ES_tradnl" w:eastAsia="es-ES_tradnl"/>
        </w:rPr>
        <w:t>actividades culturales</w:t>
      </w:r>
      <w:r w:rsidR="006C0067" w:rsidRPr="00C8275B">
        <w:rPr>
          <w:rFonts w:ascii="Times New Roman" w:hAnsi="Times New Roman" w:cs="Times New Roman"/>
          <w:sz w:val="22"/>
          <w:szCs w:val="22"/>
          <w:lang w:val="es-ES_tradnl" w:eastAsia="es-ES_tradnl"/>
        </w:rPr>
        <w:t xml:space="preserve"> y de carnaval; así como la comercialización de aquellos productos</w:t>
      </w:r>
      <w:r w:rsidRPr="00C8275B">
        <w:rPr>
          <w:rFonts w:ascii="Times New Roman" w:hAnsi="Times New Roman" w:cs="Times New Roman"/>
          <w:sz w:val="22"/>
          <w:szCs w:val="22"/>
          <w:lang w:val="es-ES_tradnl" w:eastAsia="es-ES_tradnl"/>
        </w:rPr>
        <w:t>/</w:t>
      </w:r>
      <w:r w:rsidR="006C0067" w:rsidRPr="00C8275B">
        <w:rPr>
          <w:rFonts w:ascii="Times New Roman" w:hAnsi="Times New Roman" w:cs="Times New Roman"/>
          <w:sz w:val="22"/>
          <w:szCs w:val="22"/>
          <w:lang w:val="es-ES_tradnl" w:eastAsia="es-ES_tradnl"/>
        </w:rPr>
        <w:t>servicios a que den lu</w:t>
      </w:r>
      <w:r w:rsidRPr="00C8275B">
        <w:rPr>
          <w:rFonts w:ascii="Times New Roman" w:hAnsi="Times New Roman" w:cs="Times New Roman"/>
          <w:sz w:val="22"/>
          <w:szCs w:val="22"/>
          <w:lang w:val="es-ES_tradnl" w:eastAsia="es-ES_tradnl"/>
        </w:rPr>
        <w:t>gar las actuaciones societarias.”</w:t>
      </w:r>
    </w:p>
    <w:p w14:paraId="2460DC2A" w14:textId="77777777" w:rsidR="00BF116A" w:rsidRPr="00C8275B" w:rsidRDefault="00BF116A" w:rsidP="006C0067">
      <w:pPr>
        <w:shd w:val="clear" w:color="auto" w:fill="FFFFFF"/>
        <w:ind w:left="720" w:right="29"/>
        <w:jc w:val="both"/>
        <w:rPr>
          <w:rFonts w:ascii="Times New Roman" w:hAnsi="Times New Roman" w:cs="Times New Roman"/>
          <w:sz w:val="22"/>
          <w:szCs w:val="22"/>
          <w:lang w:val="es-ES_tradnl" w:eastAsia="es-ES_tradnl"/>
        </w:rPr>
      </w:pPr>
    </w:p>
    <w:p w14:paraId="32EAF1A1"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Dedicada a la gestión cultural, de eventos y espacios culturales, Promoción de la Ciudad de Las Palmas de Gran Canaria funciona como productora que diseña, ejecuta, difunde y evalúa las citas y programas culturales que desarrollan las áreas de Cult</w:t>
      </w:r>
      <w:r w:rsidR="004701DB" w:rsidRPr="00C8275B">
        <w:rPr>
          <w:rFonts w:ascii="Times New Roman" w:hAnsi="Times New Roman" w:cs="Times New Roman"/>
          <w:spacing w:val="-2"/>
          <w:sz w:val="22"/>
          <w:szCs w:val="22"/>
          <w:lang w:val="es-ES_tradnl" w:eastAsia="es-ES_tradnl"/>
        </w:rPr>
        <w:t xml:space="preserve">ura y Carnaval del </w:t>
      </w:r>
      <w:r w:rsidR="00A91F42" w:rsidRPr="00C8275B">
        <w:rPr>
          <w:rFonts w:ascii="Times New Roman" w:hAnsi="Times New Roman" w:cs="Times New Roman"/>
          <w:spacing w:val="-2"/>
          <w:sz w:val="22"/>
          <w:szCs w:val="22"/>
          <w:lang w:val="es-ES_tradnl" w:eastAsia="es-ES_tradnl"/>
        </w:rPr>
        <w:t>Excmo. Ayuntamiento</w:t>
      </w:r>
      <w:r w:rsidR="000D1E1C" w:rsidRPr="00C8275B">
        <w:rPr>
          <w:rFonts w:ascii="Times New Roman" w:hAnsi="Times New Roman" w:cs="Times New Roman"/>
          <w:spacing w:val="-2"/>
          <w:sz w:val="22"/>
          <w:szCs w:val="22"/>
          <w:lang w:val="es-ES_tradnl" w:eastAsia="es-ES_tradnl"/>
        </w:rPr>
        <w:t xml:space="preserve"> de Las de Gran Canaria</w:t>
      </w:r>
      <w:r w:rsidR="004701DB" w:rsidRPr="00C8275B">
        <w:rPr>
          <w:rFonts w:ascii="Times New Roman" w:hAnsi="Times New Roman" w:cs="Times New Roman"/>
          <w:spacing w:val="-2"/>
          <w:sz w:val="22"/>
          <w:szCs w:val="22"/>
          <w:lang w:val="es-ES_tradnl" w:eastAsia="es-ES_tradnl"/>
        </w:rPr>
        <w:t>; quedando excluida desde el 02 de noviembre del 2021, de la producción, gestión y difusión de actividades turísticas.</w:t>
      </w:r>
    </w:p>
    <w:p w14:paraId="7A447411" w14:textId="77777777" w:rsidR="00B94045" w:rsidRPr="00C8275B" w:rsidRDefault="00B94045" w:rsidP="009238CC">
      <w:pPr>
        <w:shd w:val="clear" w:color="auto" w:fill="FFFFFF"/>
        <w:ind w:left="720" w:right="29"/>
        <w:jc w:val="both"/>
        <w:rPr>
          <w:rFonts w:ascii="Times New Roman" w:hAnsi="Times New Roman" w:cs="Times New Roman"/>
          <w:spacing w:val="-2"/>
          <w:sz w:val="22"/>
          <w:szCs w:val="22"/>
          <w:lang w:val="es-ES_tradnl" w:eastAsia="es-ES_tradnl"/>
        </w:rPr>
      </w:pPr>
    </w:p>
    <w:p w14:paraId="2F25B46D"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Las actividades relacionadas con el Carnaval, con las fiestas de Navidad, Fundacionales y con fechas emblemáticas relacionadas con la cultura recaen en esta sociedad que, además, organiza festivales como el Festival Internacional de Cine de Las Palmas de Gran Canaria o el Festival de Teatro Música y Danza TEMUDAS.</w:t>
      </w:r>
    </w:p>
    <w:p w14:paraId="54878400" w14:textId="77777777" w:rsidR="009238CC" w:rsidRPr="00C8275B" w:rsidRDefault="009238CC" w:rsidP="009238CC">
      <w:pPr>
        <w:shd w:val="clear" w:color="auto" w:fill="FFFFFF"/>
        <w:ind w:left="720" w:right="29"/>
        <w:jc w:val="both"/>
        <w:rPr>
          <w:rFonts w:ascii="Times New Roman" w:hAnsi="Times New Roman" w:cs="Times New Roman"/>
          <w:spacing w:val="-2"/>
          <w:sz w:val="22"/>
          <w:szCs w:val="22"/>
          <w:lang w:val="es-ES_tradnl" w:eastAsia="es-ES_tradnl"/>
        </w:rPr>
      </w:pPr>
    </w:p>
    <w:p w14:paraId="6DDFDBFF" w14:textId="77777777" w:rsidR="009238CC" w:rsidRPr="00C8275B" w:rsidRDefault="009238CC" w:rsidP="006C006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Promoción de la Ciudad de Las Palmas de Gran Canaria gestiona también espacios culturales como el Museo Castillo de Mata o la red de Bibliotecas Públicas de Las Palmas de Gran Canaria, además del Palacete Rodríguez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o el emblemático Edificio Miller, cada uno con su especial línea estratégica y conceptual.</w:t>
      </w:r>
    </w:p>
    <w:p w14:paraId="4007CA56" w14:textId="77777777" w:rsidR="00BF116A" w:rsidRPr="00C8275B" w:rsidRDefault="00BF116A" w:rsidP="006C0067">
      <w:pPr>
        <w:shd w:val="clear" w:color="auto" w:fill="FFFFFF"/>
        <w:ind w:left="720" w:right="29"/>
        <w:jc w:val="both"/>
        <w:rPr>
          <w:rFonts w:ascii="Times New Roman" w:hAnsi="Times New Roman" w:cs="Times New Roman"/>
          <w:sz w:val="22"/>
          <w:szCs w:val="22"/>
          <w:lang w:val="es-ES_tradnl" w:eastAsia="es-ES_tradnl"/>
        </w:rPr>
      </w:pPr>
    </w:p>
    <w:p w14:paraId="05EA1319"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A efectos de la Ley de Contratos del Sector Público, la Sociedad es considerada una entidad mercantil con poder adjudicador no administración pública (PANAP), que se cumple en base a que:</w:t>
      </w:r>
    </w:p>
    <w:p w14:paraId="7FEB4EFD"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014246DC"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proofErr w:type="gramStart"/>
      <w:r w:rsidRPr="00C8275B">
        <w:rPr>
          <w:rFonts w:ascii="Times New Roman" w:hAnsi="Times New Roman" w:cs="Times New Roman"/>
          <w:sz w:val="22"/>
          <w:szCs w:val="22"/>
          <w:lang w:val="es-ES_tradnl" w:eastAsia="es-ES_tradnl"/>
        </w:rPr>
        <w:t>1.º)  El</w:t>
      </w:r>
      <w:proofErr w:type="gramEnd"/>
      <w:r w:rsidRPr="00C8275B">
        <w:rPr>
          <w:rFonts w:ascii="Times New Roman" w:hAnsi="Times New Roman" w:cs="Times New Roman"/>
          <w:sz w:val="22"/>
          <w:szCs w:val="22"/>
          <w:lang w:val="es-ES_tradnl" w:eastAsia="es-ES_tradnl"/>
        </w:rPr>
        <w:t xml:space="preserve">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w:t>
      </w:r>
      <w:r w:rsidR="001355BC" w:rsidRPr="00C8275B">
        <w:rPr>
          <w:rFonts w:ascii="Times New Roman" w:hAnsi="Times New Roman" w:cs="Times New Roman"/>
          <w:sz w:val="22"/>
          <w:szCs w:val="22"/>
          <w:lang w:val="es-ES_tradnl" w:eastAsia="es-ES_tradnl"/>
        </w:rPr>
        <w:t xml:space="preserve">aria ejerce el control directo </w:t>
      </w:r>
      <w:r w:rsidRPr="00C8275B">
        <w:rPr>
          <w:rFonts w:ascii="Times New Roman" w:hAnsi="Times New Roman" w:cs="Times New Roman"/>
          <w:sz w:val="22"/>
          <w:szCs w:val="22"/>
          <w:lang w:val="es-ES_tradnl" w:eastAsia="es-ES_tradnl"/>
        </w:rPr>
        <w:t>sobre la Socieda</w:t>
      </w:r>
      <w:r w:rsidR="001355BC" w:rsidRPr="00C8275B">
        <w:rPr>
          <w:rFonts w:ascii="Times New Roman" w:hAnsi="Times New Roman" w:cs="Times New Roman"/>
          <w:sz w:val="22"/>
          <w:szCs w:val="22"/>
          <w:lang w:val="es-ES_tradnl" w:eastAsia="es-ES_tradnl"/>
        </w:rPr>
        <w:t>d municipal</w:t>
      </w:r>
      <w:r w:rsidRPr="00C8275B">
        <w:rPr>
          <w:rFonts w:ascii="Times New Roman" w:hAnsi="Times New Roman" w:cs="Times New Roman"/>
          <w:sz w:val="22"/>
          <w:szCs w:val="22"/>
          <w:lang w:val="es-ES_tradnl" w:eastAsia="es-ES_tradnl"/>
        </w:rPr>
        <w:t xml:space="preserve"> de forma análoga al que se tiene sobre las unidades o servicios del </w:t>
      </w:r>
      <w:r w:rsidR="00A91F42" w:rsidRPr="00C8275B">
        <w:rPr>
          <w:rFonts w:ascii="Times New Roman" w:hAnsi="Times New Roman" w:cs="Times New Roman"/>
          <w:sz w:val="22"/>
          <w:szCs w:val="22"/>
          <w:lang w:val="es-ES_tradnl" w:eastAsia="es-ES_tradnl"/>
        </w:rPr>
        <w:t xml:space="preserve"> Ayuntamiento</w:t>
      </w:r>
      <w:r w:rsidRPr="00C8275B">
        <w:rPr>
          <w:rFonts w:ascii="Times New Roman" w:hAnsi="Times New Roman" w:cs="Times New Roman"/>
          <w:sz w:val="22"/>
          <w:szCs w:val="22"/>
          <w:lang w:val="es-ES_tradnl" w:eastAsia="es-ES_tradnl"/>
        </w:rPr>
        <w:t xml:space="preserve"> y, dado que se posee el 100 % del capital, se ejerce una influenc</w:t>
      </w:r>
      <w:r w:rsidR="001355BC" w:rsidRPr="00C8275B">
        <w:rPr>
          <w:rFonts w:ascii="Times New Roman" w:hAnsi="Times New Roman" w:cs="Times New Roman"/>
          <w:sz w:val="22"/>
          <w:szCs w:val="22"/>
          <w:lang w:val="es-ES_tradnl" w:eastAsia="es-ES_tradnl"/>
        </w:rPr>
        <w:t xml:space="preserve">ia decisiva sobre sus objetivos estratégicos </w:t>
      </w:r>
      <w:r w:rsidRPr="00C8275B">
        <w:rPr>
          <w:rFonts w:ascii="Times New Roman" w:hAnsi="Times New Roman" w:cs="Times New Roman"/>
          <w:sz w:val="22"/>
          <w:szCs w:val="22"/>
          <w:lang w:val="es-ES_tradnl" w:eastAsia="es-ES_tradnl"/>
        </w:rPr>
        <w:t>y decisiones significativas. Además, los encargo</w:t>
      </w:r>
      <w:r w:rsidR="001355BC" w:rsidRPr="00C8275B">
        <w:rPr>
          <w:rFonts w:ascii="Times New Roman" w:hAnsi="Times New Roman" w:cs="Times New Roman"/>
          <w:sz w:val="22"/>
          <w:szCs w:val="22"/>
          <w:lang w:val="es-ES_tradnl" w:eastAsia="es-ES_tradnl"/>
        </w:rPr>
        <w:t xml:space="preserve">s se realizan   conforme a </w:t>
      </w:r>
      <w:r w:rsidRPr="00C8275B">
        <w:rPr>
          <w:rFonts w:ascii="Times New Roman" w:hAnsi="Times New Roman" w:cs="Times New Roman"/>
          <w:sz w:val="22"/>
          <w:szCs w:val="22"/>
          <w:lang w:val="es-ES_tradnl" w:eastAsia="es-ES_tradnl"/>
        </w:rPr>
        <w:t>unas tarifas que cubren los costes reales de realización de esos encargos.</w:t>
      </w:r>
    </w:p>
    <w:p w14:paraId="66A51EA4"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p>
    <w:p w14:paraId="679566AC"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proofErr w:type="gramStart"/>
      <w:r w:rsidRPr="00C8275B">
        <w:rPr>
          <w:rFonts w:ascii="Times New Roman" w:hAnsi="Times New Roman" w:cs="Times New Roman"/>
          <w:sz w:val="22"/>
          <w:szCs w:val="22"/>
          <w:lang w:val="es-ES_tradnl" w:eastAsia="es-ES_tradnl"/>
        </w:rPr>
        <w:t>2.º)  El</w:t>
      </w:r>
      <w:proofErr w:type="gramEnd"/>
      <w:r w:rsidRPr="00C8275B">
        <w:rPr>
          <w:rFonts w:ascii="Times New Roman" w:hAnsi="Times New Roman" w:cs="Times New Roman"/>
          <w:sz w:val="22"/>
          <w:szCs w:val="22"/>
          <w:lang w:val="es-ES_tradnl" w:eastAsia="es-ES_tradnl"/>
        </w:rPr>
        <w:t xml:space="preserve"> 100  % de  las actividades  de 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A. (PROMOCIÓN), se ll</w:t>
      </w:r>
      <w:r w:rsidR="001355BC" w:rsidRPr="00C8275B">
        <w:rPr>
          <w:rFonts w:ascii="Times New Roman" w:hAnsi="Times New Roman" w:cs="Times New Roman"/>
          <w:sz w:val="22"/>
          <w:szCs w:val="22"/>
          <w:lang w:val="es-ES_tradnl" w:eastAsia="es-ES_tradnl"/>
        </w:rPr>
        <w:t xml:space="preserve">evan a cabo en </w:t>
      </w:r>
      <w:r w:rsidRPr="00C8275B">
        <w:rPr>
          <w:rFonts w:ascii="Times New Roman" w:hAnsi="Times New Roman" w:cs="Times New Roman"/>
          <w:sz w:val="22"/>
          <w:szCs w:val="22"/>
          <w:lang w:val="es-ES_tradnl" w:eastAsia="es-ES_tradnl"/>
        </w:rPr>
        <w:t xml:space="preserve">el ejercicio de los cometidos que le han sido confiados por el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Canaria.</w:t>
      </w:r>
    </w:p>
    <w:p w14:paraId="6990CBC5" w14:textId="77777777" w:rsidR="00250407" w:rsidRPr="00C8275B" w:rsidRDefault="00250407" w:rsidP="00250407">
      <w:pPr>
        <w:shd w:val="clear" w:color="auto" w:fill="FFFFFF"/>
        <w:ind w:left="1418" w:right="29"/>
        <w:jc w:val="both"/>
        <w:rPr>
          <w:rFonts w:ascii="Times New Roman" w:hAnsi="Times New Roman" w:cs="Times New Roman"/>
          <w:color w:val="0000FF"/>
          <w:sz w:val="22"/>
          <w:szCs w:val="22"/>
          <w:lang w:val="es-ES_tradnl" w:eastAsia="es-ES_tradnl"/>
        </w:rPr>
      </w:pPr>
    </w:p>
    <w:p w14:paraId="02264214" w14:textId="77777777" w:rsidR="00250407" w:rsidRPr="00C8275B" w:rsidRDefault="00250407" w:rsidP="00250407">
      <w:pPr>
        <w:shd w:val="clear" w:color="auto" w:fill="FFFFFF"/>
        <w:ind w:left="1418" w:right="29"/>
        <w:jc w:val="both"/>
        <w:rPr>
          <w:rFonts w:ascii="Times New Roman" w:hAnsi="Times New Roman" w:cs="Times New Roman"/>
          <w:sz w:val="22"/>
          <w:szCs w:val="22"/>
          <w:lang w:val="es-ES_tradnl" w:eastAsia="es-ES_tradnl"/>
        </w:rPr>
      </w:pPr>
      <w:proofErr w:type="gramStart"/>
      <w:r w:rsidRPr="00C8275B">
        <w:rPr>
          <w:rFonts w:ascii="Times New Roman" w:hAnsi="Times New Roman" w:cs="Times New Roman"/>
          <w:sz w:val="22"/>
          <w:szCs w:val="22"/>
          <w:lang w:val="es-ES_tradnl" w:eastAsia="es-ES_tradnl"/>
        </w:rPr>
        <w:t>3.º)  La</w:t>
      </w:r>
      <w:proofErr w:type="gramEnd"/>
      <w:r w:rsidRPr="00C8275B">
        <w:rPr>
          <w:rFonts w:ascii="Times New Roman" w:hAnsi="Times New Roman" w:cs="Times New Roman"/>
          <w:sz w:val="22"/>
          <w:szCs w:val="22"/>
          <w:lang w:val="es-ES_tradnl" w:eastAsia="es-ES_tradnl"/>
        </w:rPr>
        <w:t xml:space="preserve"> totalidad del capital social de 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A. (P</w:t>
      </w:r>
      <w:r w:rsidR="001355BC" w:rsidRPr="00C8275B">
        <w:rPr>
          <w:rFonts w:ascii="Times New Roman" w:hAnsi="Times New Roman" w:cs="Times New Roman"/>
          <w:sz w:val="22"/>
          <w:szCs w:val="22"/>
          <w:lang w:val="es-ES_tradnl" w:eastAsia="es-ES_tradnl"/>
        </w:rPr>
        <w:t xml:space="preserve">ROMOCIÓN), es propiedad </w:t>
      </w:r>
      <w:r w:rsidRPr="00C8275B">
        <w:rPr>
          <w:rFonts w:ascii="Times New Roman" w:hAnsi="Times New Roman" w:cs="Times New Roman"/>
          <w:sz w:val="22"/>
          <w:szCs w:val="22"/>
          <w:lang w:val="es-ES_tradnl" w:eastAsia="es-ES_tradnl"/>
        </w:rPr>
        <w:t xml:space="preserve">del </w:t>
      </w:r>
      <w:r w:rsidR="00A91F42" w:rsidRPr="00C8275B">
        <w:rPr>
          <w:rFonts w:ascii="Times New Roman" w:hAnsi="Times New Roman" w:cs="Times New Roman"/>
          <w:sz w:val="22"/>
          <w:szCs w:val="22"/>
          <w:lang w:val="es-ES_tradnl" w:eastAsia="es-ES_tradnl"/>
        </w:rPr>
        <w:t>Excmo. Ayuntamiento</w:t>
      </w:r>
      <w:r w:rsidRPr="00C8275B">
        <w:rPr>
          <w:rFonts w:ascii="Times New Roman" w:hAnsi="Times New Roman" w:cs="Times New Roman"/>
          <w:sz w:val="22"/>
          <w:szCs w:val="22"/>
          <w:lang w:val="es-ES_tradnl" w:eastAsia="es-ES_tradnl"/>
        </w:rPr>
        <w:t xml:space="preserve"> de Las Palmas de Gran Canaria.</w:t>
      </w:r>
    </w:p>
    <w:p w14:paraId="10C19B10" w14:textId="77777777" w:rsidR="00205A13" w:rsidRPr="00C8275B" w:rsidRDefault="00205A13" w:rsidP="00250407">
      <w:pPr>
        <w:shd w:val="clear" w:color="auto" w:fill="FFFFFF"/>
        <w:ind w:left="1418" w:right="29"/>
        <w:jc w:val="both"/>
        <w:rPr>
          <w:rFonts w:ascii="Times New Roman" w:hAnsi="Times New Roman" w:cs="Times New Roman"/>
          <w:sz w:val="22"/>
          <w:szCs w:val="22"/>
          <w:lang w:val="es-ES_tradnl" w:eastAsia="es-ES_tradnl"/>
        </w:rPr>
      </w:pPr>
    </w:p>
    <w:p w14:paraId="6E666537" w14:textId="77777777" w:rsidR="00250407" w:rsidRPr="00C8275B" w:rsidRDefault="00250407" w:rsidP="001355BC">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La Sociedad Municipal de Promoción de la Ciudad de</w:t>
      </w:r>
      <w:r w:rsidR="001355BC" w:rsidRPr="00C8275B">
        <w:rPr>
          <w:rFonts w:ascii="Times New Roman" w:hAnsi="Times New Roman" w:cs="Times New Roman"/>
          <w:sz w:val="22"/>
          <w:szCs w:val="22"/>
          <w:lang w:val="es-ES_tradnl" w:eastAsia="es-ES_tradnl"/>
        </w:rPr>
        <w:t xml:space="preserve"> Las Palmas de Gran Canaria, S.</w:t>
      </w:r>
      <w:r w:rsidRPr="00C8275B">
        <w:rPr>
          <w:rFonts w:ascii="Times New Roman" w:hAnsi="Times New Roman" w:cs="Times New Roman"/>
          <w:sz w:val="22"/>
          <w:szCs w:val="22"/>
          <w:lang w:val="es-ES_tradnl" w:eastAsia="es-ES_tradnl"/>
        </w:rPr>
        <w:t xml:space="preserve">A. </w:t>
      </w:r>
      <w:r w:rsidRPr="00C8275B">
        <w:rPr>
          <w:rFonts w:ascii="Times New Roman" w:hAnsi="Times New Roman" w:cs="Times New Roman"/>
          <w:sz w:val="22"/>
          <w:szCs w:val="22"/>
          <w:lang w:val="es-ES_tradnl" w:eastAsia="es-ES_tradnl"/>
        </w:rPr>
        <w:lastRenderedPageBreak/>
        <w:t>(PROMOCIÓN), tiene los medios personales y materiales propios para poder realizar las acciones objeto del encargo, y fue autorizada por el pleno municipal de fecha 28 de septiembre de 2018, para ser considera</w:t>
      </w:r>
      <w:r w:rsidR="001355BC" w:rsidRPr="00C8275B">
        <w:rPr>
          <w:rFonts w:ascii="Times New Roman" w:hAnsi="Times New Roman" w:cs="Times New Roman"/>
          <w:sz w:val="22"/>
          <w:szCs w:val="22"/>
          <w:lang w:val="es-ES_tradnl" w:eastAsia="es-ES_tradnl"/>
        </w:rPr>
        <w:t>da medio propio personificado</w:t>
      </w:r>
      <w:r w:rsidRPr="00C8275B">
        <w:rPr>
          <w:rFonts w:ascii="Times New Roman" w:hAnsi="Times New Roman" w:cs="Times New Roman"/>
          <w:sz w:val="22"/>
          <w:szCs w:val="22"/>
          <w:lang w:val="es-ES_tradnl" w:eastAsia="es-ES_tradnl"/>
        </w:rPr>
        <w:t xml:space="preserve"> del </w:t>
      </w:r>
      <w:r w:rsidR="00A91F42" w:rsidRPr="00C8275B">
        <w:rPr>
          <w:rFonts w:ascii="Times New Roman" w:hAnsi="Times New Roman" w:cs="Times New Roman"/>
          <w:sz w:val="22"/>
          <w:szCs w:val="22"/>
          <w:lang w:val="es-ES_tradnl" w:eastAsia="es-ES_tradnl"/>
        </w:rPr>
        <w:t>Excmo. Ayuntamiento</w:t>
      </w:r>
      <w:r w:rsidR="001355BC" w:rsidRPr="00C8275B">
        <w:rPr>
          <w:rFonts w:ascii="Times New Roman" w:hAnsi="Times New Roman" w:cs="Times New Roman"/>
          <w:sz w:val="22"/>
          <w:szCs w:val="22"/>
          <w:lang w:val="es-ES_tradnl" w:eastAsia="es-ES_tradnl"/>
        </w:rPr>
        <w:t xml:space="preserve"> de Las Palmas de Gran </w:t>
      </w:r>
      <w:r w:rsidRPr="00C8275B">
        <w:rPr>
          <w:rFonts w:ascii="Times New Roman" w:hAnsi="Times New Roman" w:cs="Times New Roman"/>
          <w:sz w:val="22"/>
          <w:szCs w:val="22"/>
          <w:lang w:val="es-ES_tradnl" w:eastAsia="es-ES_tradnl"/>
        </w:rPr>
        <w:t>Canaria.</w:t>
      </w:r>
    </w:p>
    <w:p w14:paraId="6945ECDC" w14:textId="77777777" w:rsidR="008A3FE9" w:rsidRPr="00C8275B" w:rsidRDefault="008A3FE9" w:rsidP="001355BC">
      <w:pPr>
        <w:shd w:val="clear" w:color="auto" w:fill="FFFFFF"/>
        <w:ind w:left="720" w:right="29"/>
        <w:jc w:val="both"/>
        <w:rPr>
          <w:rFonts w:ascii="Times New Roman" w:hAnsi="Times New Roman" w:cs="Times New Roman"/>
          <w:sz w:val="22"/>
          <w:szCs w:val="22"/>
          <w:lang w:val="es-ES_tradnl" w:eastAsia="es-ES_tradnl"/>
        </w:rPr>
      </w:pPr>
    </w:p>
    <w:p w14:paraId="3A9C93C1" w14:textId="77777777" w:rsidR="007A0D26"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En tal sentido, con fecha 28 de septiembre de 2018 el Pleno del Excmo. Ayuntamiento de Las Palmas de Gran Canaria aprobó por unanimidad la modificación de los estatutos 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14:paraId="23DD392B"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78E6E93B" w14:textId="77777777" w:rsidR="00250407" w:rsidRPr="00C8275B" w:rsidRDefault="00250407" w:rsidP="00CF613B">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“Artículo 1º </w:t>
      </w:r>
      <w:proofErr w:type="gramStart"/>
      <w:r w:rsidRPr="00C8275B">
        <w:rPr>
          <w:rFonts w:ascii="Times New Roman" w:hAnsi="Times New Roman" w:cs="Times New Roman"/>
          <w:i/>
          <w:iCs/>
          <w:sz w:val="22"/>
          <w:szCs w:val="22"/>
          <w:lang w:val="es-ES_tradnl" w:eastAsia="es-ES_tradnl"/>
        </w:rPr>
        <w:t>Den</w:t>
      </w:r>
      <w:r w:rsidR="00CF613B" w:rsidRPr="00C8275B">
        <w:rPr>
          <w:rFonts w:ascii="Times New Roman" w:hAnsi="Times New Roman" w:cs="Times New Roman"/>
          <w:i/>
          <w:iCs/>
          <w:sz w:val="22"/>
          <w:szCs w:val="22"/>
          <w:lang w:val="es-ES_tradnl" w:eastAsia="es-ES_tradnl"/>
        </w:rPr>
        <w:t>ominación.-</w:t>
      </w:r>
      <w:proofErr w:type="gramEnd"/>
      <w:r w:rsidR="00CF613B" w:rsidRPr="00C8275B">
        <w:rPr>
          <w:rFonts w:ascii="Times New Roman" w:hAnsi="Times New Roman" w:cs="Times New Roman"/>
          <w:i/>
          <w:iCs/>
          <w:sz w:val="22"/>
          <w:szCs w:val="22"/>
          <w:lang w:val="es-ES_tradnl" w:eastAsia="es-ES_tradnl"/>
        </w:rPr>
        <w:t xml:space="preserve"> La Sociedad girará </w:t>
      </w:r>
      <w:r w:rsidRPr="00C8275B">
        <w:rPr>
          <w:rFonts w:ascii="Times New Roman" w:hAnsi="Times New Roman" w:cs="Times New Roman"/>
          <w:i/>
          <w:iCs/>
          <w:sz w:val="22"/>
          <w:szCs w:val="22"/>
          <w:lang w:val="es-ES_tradnl" w:eastAsia="es-ES_tradnl"/>
        </w:rPr>
        <w:t>con la denominación de "PROMOCIÓN DE LA CIUDAD DE LAS PALMAS DE GRAN CANA</w:t>
      </w:r>
      <w:r w:rsidR="00CF613B" w:rsidRPr="00C8275B">
        <w:rPr>
          <w:rFonts w:ascii="Times New Roman" w:hAnsi="Times New Roman" w:cs="Times New Roman"/>
          <w:i/>
          <w:iCs/>
          <w:sz w:val="22"/>
          <w:szCs w:val="22"/>
          <w:lang w:val="es-ES_tradnl" w:eastAsia="es-ES_tradnl"/>
        </w:rPr>
        <w:t xml:space="preserve">RIA, SOCIEDAD ANÓNIMA". Reviste carácter de privada municipal, con </w:t>
      </w:r>
      <w:r w:rsidRPr="00C8275B">
        <w:rPr>
          <w:rFonts w:ascii="Times New Roman" w:hAnsi="Times New Roman" w:cs="Times New Roman"/>
          <w:i/>
          <w:iCs/>
          <w:sz w:val="22"/>
          <w:szCs w:val="22"/>
          <w:lang w:val="es-ES_tradnl" w:eastAsia="es-ES_tradnl"/>
        </w:rPr>
        <w:t xml:space="preserve">sujeción a la </w:t>
      </w:r>
      <w:r w:rsidR="00CF613B" w:rsidRPr="00C8275B">
        <w:rPr>
          <w:rFonts w:ascii="Times New Roman" w:hAnsi="Times New Roman" w:cs="Times New Roman"/>
          <w:i/>
          <w:iCs/>
          <w:sz w:val="22"/>
          <w:szCs w:val="22"/>
          <w:lang w:val="es-ES_tradnl" w:eastAsia="es-ES_tradnl"/>
        </w:rPr>
        <w:t xml:space="preserve">Ley </w:t>
      </w:r>
      <w:proofErr w:type="gramStart"/>
      <w:r w:rsidR="00CF613B" w:rsidRPr="00C8275B">
        <w:rPr>
          <w:rFonts w:ascii="Times New Roman" w:hAnsi="Times New Roman" w:cs="Times New Roman"/>
          <w:i/>
          <w:iCs/>
          <w:sz w:val="22"/>
          <w:szCs w:val="22"/>
          <w:lang w:val="es-ES_tradnl" w:eastAsia="es-ES_tradnl"/>
        </w:rPr>
        <w:t>sobre  Sociedades</w:t>
      </w:r>
      <w:proofErr w:type="gramEnd"/>
      <w:r w:rsidR="00CF613B" w:rsidRPr="00C8275B">
        <w:rPr>
          <w:rFonts w:ascii="Times New Roman" w:hAnsi="Times New Roman" w:cs="Times New Roman"/>
          <w:i/>
          <w:iCs/>
          <w:sz w:val="22"/>
          <w:szCs w:val="22"/>
          <w:lang w:val="es-ES_tradnl" w:eastAsia="es-ES_tradnl"/>
        </w:rPr>
        <w:t xml:space="preserve"> Anónimas, </w:t>
      </w:r>
      <w:r w:rsidRPr="00C8275B">
        <w:rPr>
          <w:rFonts w:ascii="Times New Roman" w:hAnsi="Times New Roman" w:cs="Times New Roman"/>
          <w:i/>
          <w:iCs/>
          <w:sz w:val="22"/>
          <w:szCs w:val="22"/>
          <w:lang w:val="es-ES_tradnl" w:eastAsia="es-ES_tradnl"/>
        </w:rPr>
        <w:t>la legislación local, sus propios Estatutos y demás disposiciones aplicables.</w:t>
      </w:r>
    </w:p>
    <w:p w14:paraId="4D8E68A1"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6B50CD6A" w14:textId="77777777" w:rsidR="00250407" w:rsidRPr="00C8275B"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Esta Sociedad Municipal tiene la </w:t>
      </w:r>
      <w:r w:rsidR="00250407" w:rsidRPr="00C8275B">
        <w:rPr>
          <w:rFonts w:ascii="Times New Roman" w:hAnsi="Times New Roman" w:cs="Times New Roman"/>
          <w:i/>
          <w:iCs/>
          <w:sz w:val="22"/>
          <w:szCs w:val="22"/>
          <w:lang w:val="es-ES_tradnl" w:eastAsia="es-ES_tradnl"/>
        </w:rPr>
        <w:t>consideración de medio propio personificado y servicio técnico del Ayuntamient</w:t>
      </w:r>
      <w:r w:rsidRPr="00C8275B">
        <w:rPr>
          <w:rFonts w:ascii="Times New Roman" w:hAnsi="Times New Roman" w:cs="Times New Roman"/>
          <w:i/>
          <w:iCs/>
          <w:sz w:val="22"/>
          <w:szCs w:val="22"/>
          <w:lang w:val="es-ES_tradnl" w:eastAsia="es-ES_tradnl"/>
        </w:rPr>
        <w:t xml:space="preserve">o de Las Palmas de Gran Canaria y de las demás  entidades y </w:t>
      </w:r>
      <w:r w:rsidR="00250407" w:rsidRPr="00C8275B">
        <w:rPr>
          <w:rFonts w:ascii="Times New Roman" w:hAnsi="Times New Roman" w:cs="Times New Roman"/>
          <w:i/>
          <w:iCs/>
          <w:sz w:val="22"/>
          <w:szCs w:val="22"/>
          <w:lang w:val="es-ES_tradnl" w:eastAsia="es-ES_tradnl"/>
        </w:rPr>
        <w:t>organismos autónom</w:t>
      </w:r>
      <w:r w:rsidRPr="00C8275B">
        <w:rPr>
          <w:rFonts w:ascii="Times New Roman" w:hAnsi="Times New Roman" w:cs="Times New Roman"/>
          <w:i/>
          <w:iCs/>
          <w:sz w:val="22"/>
          <w:szCs w:val="22"/>
          <w:lang w:val="es-ES_tradnl" w:eastAsia="es-ES_tradnl"/>
        </w:rPr>
        <w:t xml:space="preserve">os dependientes del mismo, de </w:t>
      </w:r>
      <w:r w:rsidR="00250407" w:rsidRPr="00C8275B">
        <w:rPr>
          <w:rFonts w:ascii="Times New Roman" w:hAnsi="Times New Roman" w:cs="Times New Roman"/>
          <w:i/>
          <w:iCs/>
          <w:sz w:val="22"/>
          <w:szCs w:val="22"/>
          <w:lang w:val="es-ES_tradnl" w:eastAsia="es-ES_tradnl"/>
        </w:rPr>
        <w:t>forma exclusiva, pudiend</w:t>
      </w:r>
      <w:r w:rsidRPr="00C8275B">
        <w:rPr>
          <w:rFonts w:ascii="Times New Roman" w:hAnsi="Times New Roman" w:cs="Times New Roman"/>
          <w:i/>
          <w:iCs/>
          <w:sz w:val="22"/>
          <w:szCs w:val="22"/>
          <w:lang w:val="es-ES_tradnl" w:eastAsia="es-ES_tradnl"/>
        </w:rPr>
        <w:t xml:space="preserve">o estos conferirle directamente los </w:t>
      </w:r>
      <w:r w:rsidR="00250407" w:rsidRPr="00C8275B">
        <w:rPr>
          <w:rFonts w:ascii="Times New Roman" w:hAnsi="Times New Roman" w:cs="Times New Roman"/>
          <w:i/>
          <w:iCs/>
          <w:sz w:val="22"/>
          <w:szCs w:val="22"/>
          <w:lang w:val="es-ES_tradnl" w:eastAsia="es-ES_tradnl"/>
        </w:rPr>
        <w:t xml:space="preserve">encargos o adjudicarle los contratos que  sean precisos, siempre en el ámbito del </w:t>
      </w:r>
      <w:r w:rsidRPr="00C8275B">
        <w:rPr>
          <w:rFonts w:ascii="Times New Roman" w:hAnsi="Times New Roman" w:cs="Times New Roman"/>
          <w:i/>
          <w:iCs/>
          <w:sz w:val="22"/>
          <w:szCs w:val="22"/>
          <w:lang w:val="es-ES_tradnl" w:eastAsia="es-ES_tradnl"/>
        </w:rPr>
        <w:t>objeto social  de la  Sociedad, sin más   limitaciones que</w:t>
      </w:r>
      <w:r w:rsidR="00250407" w:rsidRPr="00C8275B">
        <w:rPr>
          <w:rFonts w:ascii="Times New Roman" w:hAnsi="Times New Roman" w:cs="Times New Roman"/>
          <w:i/>
          <w:iCs/>
          <w:sz w:val="22"/>
          <w:szCs w:val="22"/>
          <w:lang w:val="es-ES_tradnl" w:eastAsia="es-ES_tradnl"/>
        </w:rPr>
        <w:t xml:space="preserve"> l</w:t>
      </w:r>
      <w:r w:rsidRPr="00C8275B">
        <w:rPr>
          <w:rFonts w:ascii="Times New Roman" w:hAnsi="Times New Roman" w:cs="Times New Roman"/>
          <w:i/>
          <w:iCs/>
          <w:sz w:val="22"/>
          <w:szCs w:val="22"/>
          <w:lang w:val="es-ES_tradnl" w:eastAsia="es-ES_tradnl"/>
        </w:rPr>
        <w:t>as  que vengan establecidas por</w:t>
      </w:r>
      <w:r w:rsidR="00250407" w:rsidRPr="00C8275B">
        <w:rPr>
          <w:rFonts w:ascii="Times New Roman" w:hAnsi="Times New Roman" w:cs="Times New Roman"/>
          <w:i/>
          <w:iCs/>
          <w:sz w:val="22"/>
          <w:szCs w:val="22"/>
          <w:lang w:val="es-ES_tradnl" w:eastAsia="es-ES_tradnl"/>
        </w:rPr>
        <w:t xml:space="preserve"> l</w:t>
      </w:r>
      <w:r w:rsidRPr="00C8275B">
        <w:rPr>
          <w:rFonts w:ascii="Times New Roman" w:hAnsi="Times New Roman" w:cs="Times New Roman"/>
          <w:i/>
          <w:iCs/>
          <w:sz w:val="22"/>
          <w:szCs w:val="22"/>
          <w:lang w:val="es-ES_tradnl" w:eastAsia="es-ES_tradnl"/>
        </w:rPr>
        <w:t xml:space="preserve">a normativa </w:t>
      </w:r>
      <w:r w:rsidR="00250407" w:rsidRPr="00C8275B">
        <w:rPr>
          <w:rFonts w:ascii="Times New Roman" w:hAnsi="Times New Roman" w:cs="Times New Roman"/>
          <w:i/>
          <w:iCs/>
          <w:sz w:val="22"/>
          <w:szCs w:val="22"/>
          <w:lang w:val="es-ES_tradnl" w:eastAsia="es-ES_tradnl"/>
        </w:rPr>
        <w:t>estatal básica en ma</w:t>
      </w:r>
      <w:r w:rsidRPr="00C8275B">
        <w:rPr>
          <w:rFonts w:ascii="Times New Roman" w:hAnsi="Times New Roman" w:cs="Times New Roman"/>
          <w:i/>
          <w:iCs/>
          <w:sz w:val="22"/>
          <w:szCs w:val="22"/>
          <w:lang w:val="es-ES_tradnl" w:eastAsia="es-ES_tradnl"/>
        </w:rPr>
        <w:t xml:space="preserve">teria de contratación pública y por la normativa comunitaria </w:t>
      </w:r>
      <w:r w:rsidR="00250407" w:rsidRPr="00C8275B">
        <w:rPr>
          <w:rFonts w:ascii="Times New Roman" w:hAnsi="Times New Roman" w:cs="Times New Roman"/>
          <w:i/>
          <w:iCs/>
          <w:sz w:val="22"/>
          <w:szCs w:val="22"/>
          <w:lang w:val="es-ES_tradnl" w:eastAsia="es-ES_tradnl"/>
        </w:rPr>
        <w:t>eu</w:t>
      </w:r>
      <w:r w:rsidRPr="00C8275B">
        <w:rPr>
          <w:rFonts w:ascii="Times New Roman" w:hAnsi="Times New Roman" w:cs="Times New Roman"/>
          <w:i/>
          <w:iCs/>
          <w:sz w:val="22"/>
          <w:szCs w:val="22"/>
          <w:lang w:val="es-ES_tradnl" w:eastAsia="es-ES_tradnl"/>
        </w:rPr>
        <w:t>ropea    directamente aplicable.</w:t>
      </w:r>
      <w:r w:rsidR="00250407" w:rsidRPr="00C8275B">
        <w:rPr>
          <w:rFonts w:ascii="Times New Roman" w:hAnsi="Times New Roman" w:cs="Times New Roman"/>
          <w:i/>
          <w:iCs/>
          <w:sz w:val="22"/>
          <w:szCs w:val="22"/>
          <w:lang w:val="es-ES_tradnl" w:eastAsia="es-ES_tradnl"/>
        </w:rPr>
        <w:tab/>
      </w:r>
    </w:p>
    <w:p w14:paraId="15E54F0D"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19165CCC" w14:textId="77777777" w:rsidR="00250407" w:rsidRPr="00C8275B" w:rsidRDefault="00CF613B"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El</w:t>
      </w:r>
      <w:r w:rsidR="00444288" w:rsidRPr="00C8275B">
        <w:rPr>
          <w:rFonts w:ascii="Times New Roman" w:hAnsi="Times New Roman" w:cs="Times New Roman"/>
          <w:i/>
          <w:iCs/>
          <w:sz w:val="22"/>
          <w:szCs w:val="22"/>
          <w:lang w:val="es-ES_tradnl" w:eastAsia="es-ES_tradnl"/>
        </w:rPr>
        <w:t xml:space="preserve"> </w:t>
      </w:r>
      <w:r w:rsidR="00250407" w:rsidRPr="00C8275B">
        <w:rPr>
          <w:rFonts w:ascii="Times New Roman" w:hAnsi="Times New Roman" w:cs="Times New Roman"/>
          <w:i/>
          <w:iCs/>
          <w:sz w:val="22"/>
          <w:szCs w:val="22"/>
          <w:lang w:val="es-ES_tradnl" w:eastAsia="es-ES_tradnl"/>
        </w:rPr>
        <w:t>régimen jurídico y administrativo de los referidos encargos que desde</w:t>
      </w:r>
      <w:r w:rsidR="00E21893" w:rsidRPr="00C8275B">
        <w:rPr>
          <w:rFonts w:ascii="Times New Roman" w:hAnsi="Times New Roman" w:cs="Times New Roman"/>
          <w:i/>
          <w:iCs/>
          <w:sz w:val="22"/>
          <w:szCs w:val="22"/>
          <w:lang w:val="es-ES_tradnl" w:eastAsia="es-ES_tradnl"/>
        </w:rPr>
        <w:t xml:space="preserve"> el Ayuntamiento de Las Palmas de Gran Canaria y sus</w:t>
      </w:r>
      <w:r w:rsidR="00250407" w:rsidRPr="00C8275B">
        <w:rPr>
          <w:rFonts w:ascii="Times New Roman" w:hAnsi="Times New Roman" w:cs="Times New Roman"/>
          <w:i/>
          <w:iCs/>
          <w:sz w:val="22"/>
          <w:szCs w:val="22"/>
          <w:lang w:val="es-ES_tradnl" w:eastAsia="es-ES_tradnl"/>
        </w:rPr>
        <w:t xml:space="preserve"> organismos au</w:t>
      </w:r>
      <w:r w:rsidR="00E21893" w:rsidRPr="00C8275B">
        <w:rPr>
          <w:rFonts w:ascii="Times New Roman" w:hAnsi="Times New Roman" w:cs="Times New Roman"/>
          <w:i/>
          <w:iCs/>
          <w:sz w:val="22"/>
          <w:szCs w:val="22"/>
          <w:lang w:val="es-ES_tradnl" w:eastAsia="es-ES_tradnl"/>
        </w:rPr>
        <w:t xml:space="preserve">tónomos </w:t>
      </w:r>
      <w:proofErr w:type="gramStart"/>
      <w:r w:rsidR="00E21893" w:rsidRPr="00C8275B">
        <w:rPr>
          <w:rFonts w:ascii="Times New Roman" w:hAnsi="Times New Roman" w:cs="Times New Roman"/>
          <w:i/>
          <w:iCs/>
          <w:sz w:val="22"/>
          <w:szCs w:val="22"/>
          <w:lang w:val="es-ES_tradnl" w:eastAsia="es-ES_tradnl"/>
        </w:rPr>
        <w:t>se  realicen</w:t>
      </w:r>
      <w:proofErr w:type="gramEnd"/>
      <w:r w:rsidR="00E21893" w:rsidRPr="00C8275B">
        <w:rPr>
          <w:rFonts w:ascii="Times New Roman" w:hAnsi="Times New Roman" w:cs="Times New Roman"/>
          <w:i/>
          <w:iCs/>
          <w:sz w:val="22"/>
          <w:szCs w:val="22"/>
          <w:lang w:val="es-ES_tradnl" w:eastAsia="es-ES_tradnl"/>
        </w:rPr>
        <w:t xml:space="preserve"> a </w:t>
      </w:r>
      <w:r w:rsidR="00250407" w:rsidRPr="00C8275B">
        <w:rPr>
          <w:rFonts w:ascii="Times New Roman" w:hAnsi="Times New Roman" w:cs="Times New Roman"/>
          <w:i/>
          <w:iCs/>
          <w:sz w:val="22"/>
          <w:szCs w:val="22"/>
          <w:lang w:val="es-ES_tradnl" w:eastAsia="es-ES_tradnl"/>
        </w:rPr>
        <w:t>Sociedad</w:t>
      </w:r>
      <w:r w:rsidR="00E21893" w:rsidRPr="00C8275B">
        <w:rPr>
          <w:rFonts w:ascii="Times New Roman" w:hAnsi="Times New Roman" w:cs="Times New Roman"/>
          <w:i/>
          <w:iCs/>
          <w:sz w:val="22"/>
          <w:szCs w:val="22"/>
          <w:lang w:val="es-ES_tradnl" w:eastAsia="es-ES_tradnl"/>
        </w:rPr>
        <w:t xml:space="preserve"> Municipal, quedan excluidos</w:t>
      </w:r>
      <w:r w:rsidR="00250407" w:rsidRPr="00C8275B">
        <w:rPr>
          <w:rFonts w:ascii="Times New Roman" w:hAnsi="Times New Roman" w:cs="Times New Roman"/>
          <w:i/>
          <w:iCs/>
          <w:sz w:val="22"/>
          <w:szCs w:val="22"/>
          <w:lang w:val="es-ES_tradnl" w:eastAsia="es-ES_tradnl"/>
        </w:rPr>
        <w:t xml:space="preserve"> del </w:t>
      </w:r>
      <w:r w:rsidR="00E21893" w:rsidRPr="00C8275B">
        <w:rPr>
          <w:rFonts w:ascii="Times New Roman" w:hAnsi="Times New Roman" w:cs="Times New Roman"/>
          <w:i/>
          <w:iCs/>
          <w:sz w:val="22"/>
          <w:szCs w:val="22"/>
          <w:lang w:val="es-ES_tradnl" w:eastAsia="es-ES_tradnl"/>
        </w:rPr>
        <w:t xml:space="preserve">ámbito de </w:t>
      </w:r>
      <w:r w:rsidR="00250407" w:rsidRPr="00C8275B">
        <w:rPr>
          <w:rFonts w:ascii="Times New Roman" w:hAnsi="Times New Roman" w:cs="Times New Roman"/>
          <w:i/>
          <w:iCs/>
          <w:sz w:val="22"/>
          <w:szCs w:val="22"/>
          <w:lang w:val="es-ES_tradnl" w:eastAsia="es-ES_tradnl"/>
        </w:rPr>
        <w:t>la legislación aplicable a la contratación pública por no tener</w:t>
      </w:r>
      <w:r w:rsidR="00E21893" w:rsidRPr="00C8275B">
        <w:rPr>
          <w:rFonts w:ascii="Times New Roman" w:hAnsi="Times New Roman" w:cs="Times New Roman"/>
          <w:i/>
          <w:iCs/>
          <w:sz w:val="22"/>
          <w:szCs w:val="22"/>
          <w:lang w:val="es-ES_tradnl" w:eastAsia="es-ES_tradnl"/>
        </w:rPr>
        <w:t xml:space="preserve"> la consideración jurídica </w:t>
      </w:r>
      <w:r w:rsidR="00250407" w:rsidRPr="00C8275B">
        <w:rPr>
          <w:rFonts w:ascii="Times New Roman" w:hAnsi="Times New Roman" w:cs="Times New Roman"/>
          <w:i/>
          <w:iCs/>
          <w:sz w:val="22"/>
          <w:szCs w:val="22"/>
          <w:lang w:val="es-ES_tradnl" w:eastAsia="es-ES_tradnl"/>
        </w:rPr>
        <w:t>de contrato.</w:t>
      </w:r>
    </w:p>
    <w:p w14:paraId="09F2C4FF"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417C17AB"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El</w:t>
      </w:r>
      <w:r w:rsidR="00250407" w:rsidRPr="00C8275B">
        <w:rPr>
          <w:rFonts w:ascii="Times New Roman" w:hAnsi="Times New Roman" w:cs="Times New Roman"/>
          <w:i/>
          <w:iCs/>
          <w:sz w:val="22"/>
          <w:szCs w:val="22"/>
          <w:lang w:val="es-ES_tradnl" w:eastAsia="es-ES_tradnl"/>
        </w:rPr>
        <w:t xml:space="preserve"> Ayuntamiento d</w:t>
      </w:r>
      <w:r w:rsidRPr="00C8275B">
        <w:rPr>
          <w:rFonts w:ascii="Times New Roman" w:hAnsi="Times New Roman" w:cs="Times New Roman"/>
          <w:i/>
          <w:iCs/>
          <w:sz w:val="22"/>
          <w:szCs w:val="22"/>
          <w:lang w:val="es-ES_tradnl" w:eastAsia="es-ES_tradnl"/>
        </w:rPr>
        <w:t>e Las Palmas de Gran Canaria y demás</w:t>
      </w:r>
      <w:r w:rsidR="00250407" w:rsidRPr="00C8275B">
        <w:rPr>
          <w:rFonts w:ascii="Times New Roman" w:hAnsi="Times New Roman" w:cs="Times New Roman"/>
          <w:i/>
          <w:iCs/>
          <w:sz w:val="22"/>
          <w:szCs w:val="22"/>
          <w:lang w:val="es-ES_tradnl" w:eastAsia="es-ES_tradnl"/>
        </w:rPr>
        <w:t xml:space="preserve"> entidad</w:t>
      </w:r>
      <w:r w:rsidRPr="00C8275B">
        <w:rPr>
          <w:rFonts w:ascii="Times New Roman" w:hAnsi="Times New Roman" w:cs="Times New Roman"/>
          <w:i/>
          <w:iCs/>
          <w:sz w:val="22"/>
          <w:szCs w:val="22"/>
          <w:lang w:val="es-ES_tradnl" w:eastAsia="es-ES_tradnl"/>
        </w:rPr>
        <w:t xml:space="preserve">es y </w:t>
      </w:r>
      <w:r w:rsidR="00250407" w:rsidRPr="00C8275B">
        <w:rPr>
          <w:rFonts w:ascii="Times New Roman" w:hAnsi="Times New Roman" w:cs="Times New Roman"/>
          <w:i/>
          <w:iCs/>
          <w:sz w:val="22"/>
          <w:szCs w:val="22"/>
          <w:lang w:val="es-ES_tradnl" w:eastAsia="es-ES_tradnl"/>
        </w:rPr>
        <w:t>organismos a</w:t>
      </w:r>
      <w:r w:rsidRPr="00C8275B">
        <w:rPr>
          <w:rFonts w:ascii="Times New Roman" w:hAnsi="Times New Roman" w:cs="Times New Roman"/>
          <w:i/>
          <w:iCs/>
          <w:sz w:val="22"/>
          <w:szCs w:val="22"/>
          <w:lang w:val="es-ES_tradnl" w:eastAsia="es-ES_tradnl"/>
        </w:rPr>
        <w:t>utónomos dependientes del mismo podrán encarga</w:t>
      </w:r>
      <w:r w:rsidR="00250407" w:rsidRPr="00C8275B">
        <w:rPr>
          <w:rFonts w:ascii="Times New Roman" w:hAnsi="Times New Roman" w:cs="Times New Roman"/>
          <w:i/>
          <w:iCs/>
          <w:sz w:val="22"/>
          <w:szCs w:val="22"/>
          <w:lang w:val="es-ES_tradnl" w:eastAsia="es-ES_tradnl"/>
        </w:rPr>
        <w:t xml:space="preserve"> a la Sociedad Municipal </w:t>
      </w:r>
      <w:proofErr w:type="gramStart"/>
      <w:r w:rsidRPr="00C8275B">
        <w:rPr>
          <w:rFonts w:ascii="Times New Roman" w:hAnsi="Times New Roman" w:cs="Times New Roman"/>
          <w:i/>
          <w:iCs/>
          <w:sz w:val="22"/>
          <w:szCs w:val="22"/>
          <w:lang w:val="es-ES_tradnl" w:eastAsia="es-ES_tradnl"/>
        </w:rPr>
        <w:t>los  trabajos</w:t>
      </w:r>
      <w:proofErr w:type="gramEnd"/>
      <w:r w:rsidRPr="00C8275B">
        <w:rPr>
          <w:rFonts w:ascii="Times New Roman" w:hAnsi="Times New Roman" w:cs="Times New Roman"/>
          <w:i/>
          <w:iCs/>
          <w:sz w:val="22"/>
          <w:szCs w:val="22"/>
          <w:lang w:val="es-ES_tradnl" w:eastAsia="es-ES_tradnl"/>
        </w:rPr>
        <w:t xml:space="preserve"> y actividades que precisen para</w:t>
      </w:r>
      <w:r w:rsidR="00250407" w:rsidRPr="00C8275B">
        <w:rPr>
          <w:rFonts w:ascii="Times New Roman" w:hAnsi="Times New Roman" w:cs="Times New Roman"/>
          <w:i/>
          <w:iCs/>
          <w:sz w:val="22"/>
          <w:szCs w:val="22"/>
          <w:lang w:val="es-ES_tradnl" w:eastAsia="es-ES_tradnl"/>
        </w:rPr>
        <w:t xml:space="preserve"> el</w:t>
      </w:r>
      <w:r w:rsidRPr="00C8275B">
        <w:rPr>
          <w:rFonts w:ascii="Times New Roman" w:hAnsi="Times New Roman" w:cs="Times New Roman"/>
          <w:i/>
          <w:iCs/>
          <w:sz w:val="22"/>
          <w:szCs w:val="22"/>
          <w:lang w:val="es-ES_tradnl" w:eastAsia="es-ES_tradnl"/>
        </w:rPr>
        <w:t xml:space="preserve"> ejercicio de sus competencias y funciones, de acuerdo con</w:t>
      </w:r>
      <w:r w:rsidR="00250407" w:rsidRPr="00C8275B">
        <w:rPr>
          <w:rFonts w:ascii="Times New Roman" w:hAnsi="Times New Roman" w:cs="Times New Roman"/>
          <w:i/>
          <w:iCs/>
          <w:sz w:val="22"/>
          <w:szCs w:val="22"/>
          <w:lang w:val="es-ES_tradnl" w:eastAsia="es-ES_tradnl"/>
        </w:rPr>
        <w:t xml:space="preserve"> el régimen establecido en este Estatuto.</w:t>
      </w:r>
    </w:p>
    <w:p w14:paraId="50A4DB54"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5F7F080B"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La Sociedad Municipal está obligada a realizar los trabajos y actividades que le sean encargados por el Ayuntamiento y demás entes dependientes de acuerdo con </w:t>
      </w:r>
      <w:proofErr w:type="gramStart"/>
      <w:r w:rsidRPr="00C8275B">
        <w:rPr>
          <w:rFonts w:ascii="Times New Roman" w:hAnsi="Times New Roman" w:cs="Times New Roman"/>
          <w:i/>
          <w:iCs/>
          <w:sz w:val="22"/>
          <w:szCs w:val="22"/>
          <w:lang w:val="es-ES_tradnl" w:eastAsia="es-ES_tradnl"/>
        </w:rPr>
        <w:t>las  instrucciones</w:t>
      </w:r>
      <w:proofErr w:type="gramEnd"/>
      <w:r w:rsidRPr="00C8275B">
        <w:rPr>
          <w:rFonts w:ascii="Times New Roman" w:hAnsi="Times New Roman" w:cs="Times New Roman"/>
          <w:i/>
          <w:iCs/>
          <w:sz w:val="22"/>
          <w:szCs w:val="22"/>
          <w:lang w:val="es-ES_tradnl" w:eastAsia="es-ES_tradnl"/>
        </w:rPr>
        <w:t xml:space="preserve"> fijadas </w:t>
      </w:r>
      <w:r w:rsidR="00250407" w:rsidRPr="00C8275B">
        <w:rPr>
          <w:rFonts w:ascii="Times New Roman" w:hAnsi="Times New Roman" w:cs="Times New Roman"/>
          <w:i/>
          <w:iCs/>
          <w:sz w:val="22"/>
          <w:szCs w:val="22"/>
          <w:lang w:val="es-ES_tradnl" w:eastAsia="es-ES_tradnl"/>
        </w:rPr>
        <w:t>unilateralmente</w:t>
      </w:r>
      <w:r w:rsidRPr="00C8275B">
        <w:rPr>
          <w:rFonts w:ascii="Times New Roman" w:hAnsi="Times New Roman" w:cs="Times New Roman"/>
          <w:i/>
          <w:iCs/>
          <w:sz w:val="22"/>
          <w:szCs w:val="22"/>
          <w:lang w:val="es-ES_tradnl" w:eastAsia="es-ES_tradnl"/>
        </w:rPr>
        <w:t xml:space="preserve"> por la entidad que realiza el </w:t>
      </w:r>
      <w:r w:rsidR="00250407" w:rsidRPr="00C8275B">
        <w:rPr>
          <w:rFonts w:ascii="Times New Roman" w:hAnsi="Times New Roman" w:cs="Times New Roman"/>
          <w:i/>
          <w:iCs/>
          <w:sz w:val="22"/>
          <w:szCs w:val="22"/>
          <w:lang w:val="es-ES_tradnl" w:eastAsia="es-ES_tradnl"/>
        </w:rPr>
        <w:t>enca</w:t>
      </w:r>
      <w:r w:rsidRPr="00C8275B">
        <w:rPr>
          <w:rFonts w:ascii="Times New Roman" w:hAnsi="Times New Roman" w:cs="Times New Roman"/>
          <w:i/>
          <w:iCs/>
          <w:sz w:val="22"/>
          <w:szCs w:val="22"/>
          <w:lang w:val="es-ES_tradnl" w:eastAsia="es-ES_tradnl"/>
        </w:rPr>
        <w:t xml:space="preserve">rgo. </w:t>
      </w:r>
      <w:r w:rsidR="00250407" w:rsidRPr="00C8275B">
        <w:rPr>
          <w:rFonts w:ascii="Times New Roman" w:hAnsi="Times New Roman" w:cs="Times New Roman"/>
          <w:i/>
          <w:iCs/>
          <w:sz w:val="22"/>
          <w:szCs w:val="22"/>
          <w:lang w:val="es-ES_tradnl" w:eastAsia="es-ES_tradnl"/>
        </w:rPr>
        <w:t>D</w:t>
      </w:r>
      <w:r w:rsidRPr="00C8275B">
        <w:rPr>
          <w:rFonts w:ascii="Times New Roman" w:hAnsi="Times New Roman" w:cs="Times New Roman"/>
          <w:i/>
          <w:iCs/>
          <w:sz w:val="22"/>
          <w:szCs w:val="22"/>
          <w:lang w:val="es-ES_tradnl" w:eastAsia="es-ES_tradnl"/>
        </w:rPr>
        <w:t xml:space="preserve">icha   obligación se refiere a los </w:t>
      </w:r>
      <w:r w:rsidR="00250407" w:rsidRPr="00C8275B">
        <w:rPr>
          <w:rFonts w:ascii="Times New Roman" w:hAnsi="Times New Roman" w:cs="Times New Roman"/>
          <w:i/>
          <w:iCs/>
          <w:sz w:val="22"/>
          <w:szCs w:val="22"/>
          <w:lang w:val="es-ES_tradnl" w:eastAsia="es-ES_tradnl"/>
        </w:rPr>
        <w:t>encargos que le formule como su medio propio y servicio técnico, en las materias que constituyen sus funciones estatutarias.</w:t>
      </w:r>
      <w:r w:rsidRPr="00C8275B">
        <w:rPr>
          <w:rFonts w:ascii="Times New Roman" w:hAnsi="Times New Roman" w:cs="Times New Roman"/>
          <w:i/>
          <w:iCs/>
          <w:sz w:val="22"/>
          <w:szCs w:val="22"/>
          <w:lang w:val="es-ES_tradnl" w:eastAsia="es-ES_tradnl"/>
        </w:rPr>
        <w:t xml:space="preserve"> Las relaciones de la Sociedad con la </w:t>
      </w:r>
      <w:r w:rsidR="00250407" w:rsidRPr="00C8275B">
        <w:rPr>
          <w:rFonts w:ascii="Times New Roman" w:hAnsi="Times New Roman" w:cs="Times New Roman"/>
          <w:i/>
          <w:iCs/>
          <w:sz w:val="22"/>
          <w:szCs w:val="22"/>
          <w:lang w:val="es-ES_tradnl" w:eastAsia="es-ES_tradnl"/>
        </w:rPr>
        <w:t>Adm</w:t>
      </w:r>
      <w:r w:rsidRPr="00C8275B">
        <w:rPr>
          <w:rFonts w:ascii="Times New Roman" w:hAnsi="Times New Roman" w:cs="Times New Roman"/>
          <w:i/>
          <w:iCs/>
          <w:sz w:val="22"/>
          <w:szCs w:val="22"/>
          <w:lang w:val="es-ES_tradnl" w:eastAsia="es-ES_tradnl"/>
        </w:rPr>
        <w:t xml:space="preserve">inistración en su condición de medio </w:t>
      </w:r>
      <w:r w:rsidR="00250407" w:rsidRPr="00C8275B">
        <w:rPr>
          <w:rFonts w:ascii="Times New Roman" w:hAnsi="Times New Roman" w:cs="Times New Roman"/>
          <w:i/>
          <w:iCs/>
          <w:sz w:val="22"/>
          <w:szCs w:val="22"/>
          <w:lang w:val="es-ES_tradnl" w:eastAsia="es-ES_tradnl"/>
        </w:rPr>
        <w:t>p</w:t>
      </w:r>
      <w:r w:rsidRPr="00C8275B">
        <w:rPr>
          <w:rFonts w:ascii="Times New Roman" w:hAnsi="Times New Roman" w:cs="Times New Roman"/>
          <w:i/>
          <w:iCs/>
          <w:sz w:val="22"/>
          <w:szCs w:val="22"/>
          <w:lang w:val="es-ES_tradnl" w:eastAsia="es-ES_tradnl"/>
        </w:rPr>
        <w:t xml:space="preserve">ropio y servicio </w:t>
      </w:r>
      <w:r w:rsidR="00250407" w:rsidRPr="00C8275B">
        <w:rPr>
          <w:rFonts w:ascii="Times New Roman" w:hAnsi="Times New Roman" w:cs="Times New Roman"/>
          <w:i/>
          <w:iCs/>
          <w:sz w:val="22"/>
          <w:szCs w:val="22"/>
          <w:lang w:val="es-ES_tradnl" w:eastAsia="es-ES_tradnl"/>
        </w:rPr>
        <w:t>técnico    tiene</w:t>
      </w:r>
      <w:r w:rsidRPr="00C8275B">
        <w:rPr>
          <w:rFonts w:ascii="Times New Roman" w:hAnsi="Times New Roman" w:cs="Times New Roman"/>
          <w:i/>
          <w:iCs/>
          <w:sz w:val="22"/>
          <w:szCs w:val="22"/>
          <w:lang w:val="es-ES_tradnl" w:eastAsia="es-ES_tradnl"/>
        </w:rPr>
        <w:t xml:space="preserve">n naturaleza instrumental y no contractual, por lo que, a todos los efectos, son de carácter </w:t>
      </w:r>
      <w:r w:rsidR="00250407" w:rsidRPr="00C8275B">
        <w:rPr>
          <w:rFonts w:ascii="Times New Roman" w:hAnsi="Times New Roman" w:cs="Times New Roman"/>
          <w:i/>
          <w:iCs/>
          <w:sz w:val="22"/>
          <w:szCs w:val="22"/>
          <w:lang w:val="es-ES_tradnl" w:eastAsia="es-ES_tradnl"/>
        </w:rPr>
        <w:t>interno, dependiente y subordinado.</w:t>
      </w:r>
    </w:p>
    <w:p w14:paraId="276488BB"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56DE35A4" w14:textId="77777777" w:rsidR="00250407" w:rsidRPr="00C8275B" w:rsidRDefault="00444288"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Los encargos se retribuirán mediante tarifas sujetas </w:t>
      </w:r>
      <w:r w:rsidR="00250407" w:rsidRPr="00C8275B">
        <w:rPr>
          <w:rFonts w:ascii="Times New Roman" w:hAnsi="Times New Roman" w:cs="Times New Roman"/>
          <w:i/>
          <w:iCs/>
          <w:sz w:val="22"/>
          <w:szCs w:val="22"/>
          <w:lang w:val="es-ES_tradnl" w:eastAsia="es-ES_tradnl"/>
        </w:rPr>
        <w:t>al régimen previsto en el párrafo siguiente, y llevarán aparej</w:t>
      </w:r>
      <w:r w:rsidRPr="00C8275B">
        <w:rPr>
          <w:rFonts w:ascii="Times New Roman" w:hAnsi="Times New Roman" w:cs="Times New Roman"/>
          <w:i/>
          <w:iCs/>
          <w:sz w:val="22"/>
          <w:szCs w:val="22"/>
          <w:lang w:val="es-ES_tradnl" w:eastAsia="es-ES_tradnl"/>
        </w:rPr>
        <w:t xml:space="preserve">ada la potestad, para el órgano que confiere el encargo, de dictar </w:t>
      </w:r>
      <w:r w:rsidR="00250407" w:rsidRPr="00C8275B">
        <w:rPr>
          <w:rFonts w:ascii="Times New Roman" w:hAnsi="Times New Roman" w:cs="Times New Roman"/>
          <w:i/>
          <w:iCs/>
          <w:sz w:val="22"/>
          <w:szCs w:val="22"/>
          <w:lang w:val="es-ES_tradnl" w:eastAsia="es-ES_tradnl"/>
        </w:rPr>
        <w:t>las instrucciones necesarias para su ejecución</w:t>
      </w:r>
    </w:p>
    <w:p w14:paraId="25BCA7E6"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5181FBCB" w14:textId="77777777" w:rsidR="002062D4" w:rsidRPr="00C8275B" w:rsidRDefault="002062D4" w:rsidP="00B41D7D">
      <w:pPr>
        <w:shd w:val="clear" w:color="auto" w:fill="FFFFFF"/>
        <w:ind w:left="2127" w:right="29"/>
        <w:jc w:val="both"/>
        <w:rPr>
          <w:rFonts w:ascii="Times New Roman" w:hAnsi="Times New Roman" w:cs="Times New Roman"/>
          <w:i/>
          <w:iCs/>
          <w:sz w:val="22"/>
          <w:szCs w:val="22"/>
          <w:lang w:val="es-ES_tradnl" w:eastAsia="es-ES_tradnl"/>
        </w:rPr>
      </w:pPr>
    </w:p>
    <w:p w14:paraId="02A58167" w14:textId="77777777" w:rsidR="00250407" w:rsidRPr="00C8275B" w:rsidRDefault="00B41D7D" w:rsidP="00B41D7D">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 compensación se establecerá por ref</w:t>
      </w:r>
      <w:r w:rsidR="000E516B" w:rsidRPr="00C8275B">
        <w:rPr>
          <w:rFonts w:ascii="Times New Roman" w:hAnsi="Times New Roman" w:cs="Times New Roman"/>
          <w:i/>
          <w:iCs/>
          <w:sz w:val="22"/>
          <w:szCs w:val="22"/>
          <w:lang w:val="es-ES_tradnl" w:eastAsia="es-ES_tradnl"/>
        </w:rPr>
        <w:t xml:space="preserve">erencia a tarifas aprobadas por </w:t>
      </w:r>
      <w:r w:rsidR="00250407" w:rsidRPr="00C8275B">
        <w:rPr>
          <w:rFonts w:ascii="Times New Roman" w:hAnsi="Times New Roman" w:cs="Times New Roman"/>
          <w:i/>
          <w:iCs/>
          <w:sz w:val="22"/>
          <w:szCs w:val="22"/>
          <w:lang w:val="es-ES_tradnl" w:eastAsia="es-ES_tradnl"/>
        </w:rPr>
        <w:t>el</w:t>
      </w:r>
      <w:r w:rsidR="00250407" w:rsidRPr="00C8275B">
        <w:rPr>
          <w:rFonts w:ascii="Times New Roman" w:hAnsi="Times New Roman" w:cs="Times New Roman"/>
          <w:i/>
          <w:iCs/>
          <w:color w:val="0000FF"/>
          <w:sz w:val="22"/>
          <w:szCs w:val="22"/>
          <w:lang w:val="es-ES_tradnl" w:eastAsia="es-ES_tradnl"/>
        </w:rPr>
        <w:t xml:space="preserve"> </w:t>
      </w:r>
      <w:r w:rsidR="00250407" w:rsidRPr="00C8275B">
        <w:rPr>
          <w:rFonts w:ascii="Times New Roman" w:hAnsi="Times New Roman" w:cs="Times New Roman"/>
          <w:i/>
          <w:iCs/>
          <w:sz w:val="22"/>
          <w:szCs w:val="22"/>
          <w:lang w:val="es-ES_tradnl" w:eastAsia="es-ES_tradnl"/>
        </w:rPr>
        <w:t>Ayuntamiento</w:t>
      </w:r>
      <w:r w:rsidRPr="00C8275B">
        <w:rPr>
          <w:rFonts w:ascii="Times New Roman" w:hAnsi="Times New Roman" w:cs="Times New Roman"/>
          <w:i/>
          <w:iCs/>
          <w:sz w:val="22"/>
          <w:szCs w:val="22"/>
          <w:lang w:val="es-ES_tradnl" w:eastAsia="es-ES_tradnl"/>
        </w:rPr>
        <w:t xml:space="preserve"> para </w:t>
      </w:r>
      <w:r w:rsidR="00250407" w:rsidRPr="00C8275B">
        <w:rPr>
          <w:rFonts w:ascii="Times New Roman" w:hAnsi="Times New Roman" w:cs="Times New Roman"/>
          <w:i/>
          <w:iCs/>
          <w:sz w:val="22"/>
          <w:szCs w:val="22"/>
          <w:lang w:val="es-ES_tradnl" w:eastAsia="es-ES_tradnl"/>
        </w:rPr>
        <w:t>las</w:t>
      </w:r>
      <w:r w:rsidRPr="00C8275B">
        <w:rPr>
          <w:rFonts w:ascii="Times New Roman" w:hAnsi="Times New Roman" w:cs="Times New Roman"/>
          <w:i/>
          <w:iCs/>
          <w:sz w:val="22"/>
          <w:szCs w:val="22"/>
          <w:lang w:val="es-ES_tradnl" w:eastAsia="es-ES_tradnl"/>
        </w:rPr>
        <w:t xml:space="preserve"> actividades objeto de encargo realizadas por </w:t>
      </w:r>
      <w:r w:rsidR="00250407" w:rsidRPr="00C8275B">
        <w:rPr>
          <w:rFonts w:ascii="Times New Roman" w:hAnsi="Times New Roman" w:cs="Times New Roman"/>
          <w:i/>
          <w:iCs/>
          <w:sz w:val="22"/>
          <w:szCs w:val="22"/>
          <w:lang w:val="es-ES_tradnl" w:eastAsia="es-ES_tradnl"/>
        </w:rPr>
        <w:t>el medio propio directamente y atendiendo al</w:t>
      </w:r>
      <w:r w:rsidRPr="00C8275B">
        <w:rPr>
          <w:rFonts w:ascii="Times New Roman" w:hAnsi="Times New Roman" w:cs="Times New Roman"/>
          <w:i/>
          <w:iCs/>
          <w:sz w:val="22"/>
          <w:szCs w:val="22"/>
          <w:lang w:val="es-ES_tradnl" w:eastAsia="es-ES_tradnl"/>
        </w:rPr>
        <w:t xml:space="preserve"> coste efectivo soportado por el medio propio para </w:t>
      </w:r>
      <w:r w:rsidR="00250407" w:rsidRPr="00C8275B">
        <w:rPr>
          <w:rFonts w:ascii="Times New Roman" w:hAnsi="Times New Roman" w:cs="Times New Roman"/>
          <w:i/>
          <w:iCs/>
          <w:sz w:val="22"/>
          <w:szCs w:val="22"/>
          <w:lang w:val="es-ES_tradnl" w:eastAsia="es-ES_tradnl"/>
        </w:rPr>
        <w:t>las a</w:t>
      </w:r>
      <w:r w:rsidRPr="00C8275B">
        <w:rPr>
          <w:rFonts w:ascii="Times New Roman" w:hAnsi="Times New Roman" w:cs="Times New Roman"/>
          <w:i/>
          <w:iCs/>
          <w:sz w:val="22"/>
          <w:szCs w:val="22"/>
          <w:lang w:val="es-ES_tradnl" w:eastAsia="es-ES_tradnl"/>
        </w:rPr>
        <w:t xml:space="preserve">ctividades objeto del encargo que </w:t>
      </w:r>
      <w:r w:rsidR="00250407" w:rsidRPr="00C8275B">
        <w:rPr>
          <w:rFonts w:ascii="Times New Roman" w:hAnsi="Times New Roman" w:cs="Times New Roman"/>
          <w:i/>
          <w:iCs/>
          <w:sz w:val="22"/>
          <w:szCs w:val="22"/>
          <w:lang w:val="es-ES_tradnl" w:eastAsia="es-ES_tradnl"/>
        </w:rPr>
        <w:t>se subcontraten con empresarios particulares en los casos en que este coste se</w:t>
      </w:r>
      <w:r w:rsidRPr="00C8275B">
        <w:rPr>
          <w:rFonts w:ascii="Times New Roman" w:hAnsi="Times New Roman" w:cs="Times New Roman"/>
          <w:i/>
          <w:iCs/>
          <w:sz w:val="22"/>
          <w:szCs w:val="22"/>
          <w:lang w:val="es-ES_tradnl" w:eastAsia="es-ES_tradnl"/>
        </w:rPr>
        <w:t xml:space="preserve">a inferior al resultante de aplicar las tarifas a </w:t>
      </w:r>
      <w:r w:rsidR="001355BC" w:rsidRPr="00C8275B">
        <w:rPr>
          <w:rFonts w:ascii="Times New Roman" w:hAnsi="Times New Roman" w:cs="Times New Roman"/>
          <w:i/>
          <w:iCs/>
          <w:sz w:val="22"/>
          <w:szCs w:val="22"/>
          <w:lang w:val="es-ES_tradnl" w:eastAsia="es-ES_tradnl"/>
        </w:rPr>
        <w:t>las</w:t>
      </w:r>
      <w:r w:rsidR="00250407" w:rsidRPr="00C8275B">
        <w:rPr>
          <w:rFonts w:ascii="Times New Roman" w:hAnsi="Times New Roman" w:cs="Times New Roman"/>
          <w:i/>
          <w:iCs/>
          <w:sz w:val="22"/>
          <w:szCs w:val="22"/>
          <w:lang w:val="es-ES_tradnl" w:eastAsia="es-ES_tradnl"/>
        </w:rPr>
        <w:t xml:space="preserve"> acti</w:t>
      </w:r>
      <w:r w:rsidRPr="00C8275B">
        <w:rPr>
          <w:rFonts w:ascii="Times New Roman" w:hAnsi="Times New Roman" w:cs="Times New Roman"/>
          <w:i/>
          <w:iCs/>
          <w:sz w:val="22"/>
          <w:szCs w:val="22"/>
          <w:lang w:val="es-ES_tradnl" w:eastAsia="es-ES_tradnl"/>
        </w:rPr>
        <w:t xml:space="preserve">vidades subcontratadas. Dichas tarifas se calcularán de manera que representen los </w:t>
      </w:r>
      <w:proofErr w:type="gramStart"/>
      <w:r w:rsidRPr="00C8275B">
        <w:rPr>
          <w:rFonts w:ascii="Times New Roman" w:hAnsi="Times New Roman" w:cs="Times New Roman"/>
          <w:i/>
          <w:iCs/>
          <w:sz w:val="22"/>
          <w:szCs w:val="22"/>
          <w:lang w:val="es-ES_tradnl" w:eastAsia="es-ES_tradnl"/>
        </w:rPr>
        <w:t>costes  reales</w:t>
      </w:r>
      <w:proofErr w:type="gramEnd"/>
      <w:r w:rsidRPr="00C8275B">
        <w:rPr>
          <w:rFonts w:ascii="Times New Roman" w:hAnsi="Times New Roman" w:cs="Times New Roman"/>
          <w:i/>
          <w:iCs/>
          <w:sz w:val="22"/>
          <w:szCs w:val="22"/>
          <w:lang w:val="es-ES_tradnl" w:eastAsia="es-ES_tradnl"/>
        </w:rPr>
        <w:t xml:space="preserve"> de realización de las unidades </w:t>
      </w:r>
      <w:r w:rsidR="00250407" w:rsidRPr="00C8275B">
        <w:rPr>
          <w:rFonts w:ascii="Times New Roman" w:hAnsi="Times New Roman" w:cs="Times New Roman"/>
          <w:i/>
          <w:iCs/>
          <w:sz w:val="22"/>
          <w:szCs w:val="22"/>
          <w:lang w:val="es-ES_tradnl" w:eastAsia="es-ES_tradnl"/>
        </w:rPr>
        <w:t>producidas direc</w:t>
      </w:r>
      <w:r w:rsidRPr="00C8275B">
        <w:rPr>
          <w:rFonts w:ascii="Times New Roman" w:hAnsi="Times New Roman" w:cs="Times New Roman"/>
          <w:i/>
          <w:iCs/>
          <w:sz w:val="22"/>
          <w:szCs w:val="22"/>
          <w:lang w:val="es-ES_tradnl" w:eastAsia="es-ES_tradnl"/>
        </w:rPr>
        <w:t xml:space="preserve">tamente por el </w:t>
      </w:r>
      <w:r w:rsidR="00250407" w:rsidRPr="00C8275B">
        <w:rPr>
          <w:rFonts w:ascii="Times New Roman" w:hAnsi="Times New Roman" w:cs="Times New Roman"/>
          <w:i/>
          <w:iCs/>
          <w:sz w:val="22"/>
          <w:szCs w:val="22"/>
          <w:lang w:val="es-ES_tradnl" w:eastAsia="es-ES_tradnl"/>
        </w:rPr>
        <w:t>medio propio. La ta</w:t>
      </w:r>
      <w:r w:rsidRPr="00C8275B">
        <w:rPr>
          <w:rFonts w:ascii="Times New Roman" w:hAnsi="Times New Roman" w:cs="Times New Roman"/>
          <w:i/>
          <w:iCs/>
          <w:sz w:val="22"/>
          <w:szCs w:val="22"/>
          <w:lang w:val="es-ES_tradnl" w:eastAsia="es-ES_tradnl"/>
        </w:rPr>
        <w:t xml:space="preserve">rifa o retribución del encargo deberá cubrir el valor </w:t>
      </w:r>
      <w:r w:rsidR="00250407" w:rsidRPr="00C8275B">
        <w:rPr>
          <w:rFonts w:ascii="Times New Roman" w:hAnsi="Times New Roman" w:cs="Times New Roman"/>
          <w:i/>
          <w:iCs/>
          <w:sz w:val="22"/>
          <w:szCs w:val="22"/>
          <w:lang w:val="es-ES_tradnl" w:eastAsia="es-ES_tradnl"/>
        </w:rPr>
        <w:t>de las prestaciones encarga</w:t>
      </w:r>
      <w:r w:rsidRPr="00C8275B">
        <w:rPr>
          <w:rFonts w:ascii="Times New Roman" w:hAnsi="Times New Roman" w:cs="Times New Roman"/>
          <w:i/>
          <w:iCs/>
          <w:sz w:val="22"/>
          <w:szCs w:val="22"/>
          <w:lang w:val="es-ES_tradnl" w:eastAsia="es-ES_tradnl"/>
        </w:rPr>
        <w:t xml:space="preserve">das, teniendo en cuenta para su cálculo los costes directos y </w:t>
      </w:r>
      <w:r w:rsidR="00250407" w:rsidRPr="00C8275B">
        <w:rPr>
          <w:rFonts w:ascii="Times New Roman" w:hAnsi="Times New Roman" w:cs="Times New Roman"/>
          <w:i/>
          <w:iCs/>
          <w:sz w:val="22"/>
          <w:szCs w:val="22"/>
          <w:lang w:val="es-ES_tradnl" w:eastAsia="es-ES_tradnl"/>
        </w:rPr>
        <w:t xml:space="preserve">los indirectos, y </w:t>
      </w:r>
      <w:proofErr w:type="gramStart"/>
      <w:r w:rsidR="00250407" w:rsidRPr="00C8275B">
        <w:rPr>
          <w:rFonts w:ascii="Times New Roman" w:hAnsi="Times New Roman" w:cs="Times New Roman"/>
          <w:i/>
          <w:iCs/>
          <w:sz w:val="22"/>
          <w:szCs w:val="22"/>
          <w:lang w:val="es-ES_tradnl" w:eastAsia="es-ES_tradnl"/>
        </w:rPr>
        <w:t>márgenes  razonables</w:t>
      </w:r>
      <w:proofErr w:type="gramEnd"/>
      <w:r w:rsidR="00250407" w:rsidRPr="00C8275B">
        <w:rPr>
          <w:rFonts w:ascii="Times New Roman" w:hAnsi="Times New Roman" w:cs="Times New Roman"/>
          <w:i/>
          <w:iCs/>
          <w:sz w:val="22"/>
          <w:szCs w:val="22"/>
          <w:lang w:val="es-ES_tradnl" w:eastAsia="es-ES_tradnl"/>
        </w:rPr>
        <w:t xml:space="preserve">, </w:t>
      </w:r>
      <w:r w:rsidRPr="00C8275B">
        <w:rPr>
          <w:rFonts w:ascii="Times New Roman" w:hAnsi="Times New Roman" w:cs="Times New Roman"/>
          <w:i/>
          <w:iCs/>
          <w:sz w:val="22"/>
          <w:szCs w:val="22"/>
          <w:lang w:val="es-ES_tradnl" w:eastAsia="es-ES_tradnl"/>
        </w:rPr>
        <w:t xml:space="preserve">acordes con </w:t>
      </w:r>
      <w:r w:rsidR="00250407" w:rsidRPr="00C8275B">
        <w:rPr>
          <w:rFonts w:ascii="Times New Roman" w:hAnsi="Times New Roman" w:cs="Times New Roman"/>
          <w:i/>
          <w:iCs/>
          <w:sz w:val="22"/>
          <w:szCs w:val="22"/>
          <w:lang w:val="es-ES_tradnl" w:eastAsia="es-ES_tradnl"/>
        </w:rPr>
        <w:t>el</w:t>
      </w:r>
      <w:r w:rsidRPr="00C8275B">
        <w:rPr>
          <w:rFonts w:ascii="Times New Roman" w:hAnsi="Times New Roman" w:cs="Times New Roman"/>
          <w:i/>
          <w:iCs/>
          <w:sz w:val="22"/>
          <w:szCs w:val="22"/>
          <w:lang w:val="es-ES_tradnl" w:eastAsia="es-ES_tradnl"/>
        </w:rPr>
        <w:t xml:space="preserve"> </w:t>
      </w:r>
      <w:r w:rsidRPr="00C8275B">
        <w:rPr>
          <w:rFonts w:ascii="Times New Roman" w:hAnsi="Times New Roman" w:cs="Times New Roman"/>
          <w:i/>
          <w:iCs/>
          <w:sz w:val="22"/>
          <w:szCs w:val="22"/>
          <w:lang w:val="es-ES_tradnl" w:eastAsia="es-ES_tradnl"/>
        </w:rPr>
        <w:lastRenderedPageBreak/>
        <w:t>importe de aquellas prestaciones, para</w:t>
      </w:r>
      <w:r w:rsidR="00250407" w:rsidRPr="00C8275B">
        <w:rPr>
          <w:rFonts w:ascii="Times New Roman" w:hAnsi="Times New Roman" w:cs="Times New Roman"/>
          <w:i/>
          <w:iCs/>
          <w:sz w:val="22"/>
          <w:szCs w:val="22"/>
          <w:lang w:val="es-ES_tradnl" w:eastAsia="es-ES_tradnl"/>
        </w:rPr>
        <w:t xml:space="preserve"> atender desviacio</w:t>
      </w:r>
      <w:r w:rsidRPr="00C8275B">
        <w:rPr>
          <w:rFonts w:ascii="Times New Roman" w:hAnsi="Times New Roman" w:cs="Times New Roman"/>
          <w:i/>
          <w:iCs/>
          <w:sz w:val="22"/>
          <w:szCs w:val="22"/>
          <w:lang w:val="es-ES_tradnl" w:eastAsia="es-ES_tradnl"/>
        </w:rPr>
        <w:t xml:space="preserve">nes e imprevistos. Las tarifas </w:t>
      </w:r>
      <w:r w:rsidR="00250407" w:rsidRPr="00C8275B">
        <w:rPr>
          <w:rFonts w:ascii="Times New Roman" w:hAnsi="Times New Roman" w:cs="Times New Roman"/>
          <w:i/>
          <w:iCs/>
          <w:sz w:val="22"/>
          <w:szCs w:val="22"/>
          <w:lang w:val="es-ES_tradnl" w:eastAsia="es-ES_tradnl"/>
        </w:rPr>
        <w:t xml:space="preserve">en </w:t>
      </w:r>
      <w:r w:rsidRPr="00C8275B">
        <w:rPr>
          <w:rFonts w:ascii="Times New Roman" w:hAnsi="Times New Roman" w:cs="Times New Roman"/>
          <w:i/>
          <w:iCs/>
          <w:sz w:val="22"/>
          <w:szCs w:val="22"/>
          <w:lang w:val="es-ES_tradnl" w:eastAsia="es-ES_tradnl"/>
        </w:rPr>
        <w:t xml:space="preserve">ningún caso incluirán márgenes </w:t>
      </w:r>
      <w:r w:rsidR="00250407" w:rsidRPr="00C8275B">
        <w:rPr>
          <w:rFonts w:ascii="Times New Roman" w:hAnsi="Times New Roman" w:cs="Times New Roman"/>
          <w:i/>
          <w:iCs/>
          <w:sz w:val="22"/>
          <w:szCs w:val="22"/>
          <w:lang w:val="es-ES_tradnl" w:eastAsia="es-ES_tradnl"/>
        </w:rPr>
        <w:t>de beneficios.</w:t>
      </w:r>
    </w:p>
    <w:p w14:paraId="2261FA0D"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23C28FF4" w14:textId="77777777" w:rsidR="00250407" w:rsidRPr="00C8275B" w:rsidRDefault="00F400A9"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Las actuaciones obligatorias que le</w:t>
      </w:r>
      <w:r w:rsidR="00250407" w:rsidRPr="00C8275B">
        <w:rPr>
          <w:rFonts w:ascii="Times New Roman" w:hAnsi="Times New Roman" w:cs="Times New Roman"/>
          <w:i/>
          <w:iCs/>
          <w:sz w:val="22"/>
          <w:szCs w:val="22"/>
          <w:lang w:val="es-ES_tradnl" w:eastAsia="es-ES_tradnl"/>
        </w:rPr>
        <w:t xml:space="preserve"> sean encargadas a la Sociedad Munici</w:t>
      </w:r>
      <w:r w:rsidRPr="00C8275B">
        <w:rPr>
          <w:rFonts w:ascii="Times New Roman" w:hAnsi="Times New Roman" w:cs="Times New Roman"/>
          <w:i/>
          <w:iCs/>
          <w:sz w:val="22"/>
          <w:szCs w:val="22"/>
          <w:lang w:val="es-ES_tradnl" w:eastAsia="es-ES_tradnl"/>
        </w:rPr>
        <w:t xml:space="preserve">pal estarán definidas, según los </w:t>
      </w:r>
      <w:r w:rsidR="00250407" w:rsidRPr="00C8275B">
        <w:rPr>
          <w:rFonts w:ascii="Times New Roman" w:hAnsi="Times New Roman" w:cs="Times New Roman"/>
          <w:i/>
          <w:iCs/>
          <w:sz w:val="22"/>
          <w:szCs w:val="22"/>
          <w:lang w:val="es-ES_tradnl" w:eastAsia="es-ES_tradnl"/>
        </w:rPr>
        <w:t>c</w:t>
      </w:r>
      <w:r w:rsidRPr="00C8275B">
        <w:rPr>
          <w:rFonts w:ascii="Times New Roman" w:hAnsi="Times New Roman" w:cs="Times New Roman"/>
          <w:i/>
          <w:iCs/>
          <w:sz w:val="22"/>
          <w:szCs w:val="22"/>
          <w:lang w:val="es-ES_tradnl" w:eastAsia="es-ES_tradnl"/>
        </w:rPr>
        <w:t xml:space="preserve">asos, en proyectos, memorias y otros documentos técnicos, y valoradas </w:t>
      </w:r>
      <w:r w:rsidR="00250407" w:rsidRPr="00C8275B">
        <w:rPr>
          <w:rFonts w:ascii="Times New Roman" w:hAnsi="Times New Roman" w:cs="Times New Roman"/>
          <w:i/>
          <w:iCs/>
          <w:sz w:val="22"/>
          <w:szCs w:val="22"/>
          <w:lang w:val="es-ES_tradnl" w:eastAsia="es-ES_tradnl"/>
        </w:rPr>
        <w:t>en su correspondiente presupues</w:t>
      </w:r>
      <w:r w:rsidRPr="00C8275B">
        <w:rPr>
          <w:rFonts w:ascii="Times New Roman" w:hAnsi="Times New Roman" w:cs="Times New Roman"/>
          <w:i/>
          <w:iCs/>
          <w:sz w:val="22"/>
          <w:szCs w:val="22"/>
          <w:lang w:val="es-ES_tradnl" w:eastAsia="es-ES_tradnl"/>
        </w:rPr>
        <w:t xml:space="preserve">to, de acuerdo con las tarifas </w:t>
      </w:r>
      <w:r w:rsidR="00250407" w:rsidRPr="00C8275B">
        <w:rPr>
          <w:rFonts w:ascii="Times New Roman" w:hAnsi="Times New Roman" w:cs="Times New Roman"/>
          <w:i/>
          <w:iCs/>
          <w:sz w:val="22"/>
          <w:szCs w:val="22"/>
          <w:lang w:val="es-ES_tradnl" w:eastAsia="es-ES_tradnl"/>
        </w:rPr>
        <w:t>o retribuciones fijadas por el Ayuntamiento.</w:t>
      </w:r>
    </w:p>
    <w:p w14:paraId="7A195C34"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39F32B8E"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Antes de formular el encargo, los </w:t>
      </w:r>
      <w:r w:rsidR="00F400A9" w:rsidRPr="00C8275B">
        <w:rPr>
          <w:rFonts w:ascii="Times New Roman" w:hAnsi="Times New Roman" w:cs="Times New Roman"/>
          <w:i/>
          <w:iCs/>
          <w:sz w:val="22"/>
          <w:szCs w:val="22"/>
          <w:lang w:val="es-ES_tradnl" w:eastAsia="es-ES_tradnl"/>
        </w:rPr>
        <w:t xml:space="preserve">órganos competentes aprobarán </w:t>
      </w:r>
      <w:r w:rsidRPr="00C8275B">
        <w:rPr>
          <w:rFonts w:ascii="Times New Roman" w:hAnsi="Times New Roman" w:cs="Times New Roman"/>
          <w:i/>
          <w:iCs/>
          <w:sz w:val="22"/>
          <w:szCs w:val="22"/>
          <w:lang w:val="es-ES_tradnl" w:eastAsia="es-ES_tradnl"/>
        </w:rPr>
        <w:t>dichos</w:t>
      </w:r>
      <w:r w:rsidR="00F400A9" w:rsidRPr="00C8275B">
        <w:rPr>
          <w:rFonts w:ascii="Times New Roman" w:hAnsi="Times New Roman" w:cs="Times New Roman"/>
          <w:i/>
          <w:iCs/>
          <w:sz w:val="22"/>
          <w:szCs w:val="22"/>
          <w:lang w:val="es-ES_tradnl" w:eastAsia="es-ES_tradnl"/>
        </w:rPr>
        <w:t xml:space="preserve"> documentos y realizarán los preceptivos trámites técnicos, jurídicos, presupuestarios y de control y aprobación del gasto. El </w:t>
      </w:r>
      <w:r w:rsidR="008005F7" w:rsidRPr="00C8275B">
        <w:rPr>
          <w:rFonts w:ascii="Times New Roman" w:hAnsi="Times New Roman" w:cs="Times New Roman"/>
          <w:i/>
          <w:iCs/>
          <w:sz w:val="22"/>
          <w:szCs w:val="22"/>
          <w:lang w:val="es-ES_tradnl" w:eastAsia="es-ES_tradnl"/>
        </w:rPr>
        <w:t>encargo de cada actuación obligatoria adoptará la forma de Acuerdo o Resolución del órgano competente</w:t>
      </w:r>
      <w:r w:rsidRPr="00C8275B">
        <w:rPr>
          <w:rFonts w:ascii="Times New Roman" w:hAnsi="Times New Roman" w:cs="Times New Roman"/>
          <w:i/>
          <w:iCs/>
          <w:sz w:val="22"/>
          <w:szCs w:val="22"/>
          <w:lang w:val="es-ES_tradnl" w:eastAsia="es-ES_tradnl"/>
        </w:rPr>
        <w:t xml:space="preserve"> y, sin perjuicio de las publicac</w:t>
      </w:r>
      <w:r w:rsidR="008005F7" w:rsidRPr="00C8275B">
        <w:rPr>
          <w:rFonts w:ascii="Times New Roman" w:hAnsi="Times New Roman" w:cs="Times New Roman"/>
          <w:i/>
          <w:iCs/>
          <w:sz w:val="22"/>
          <w:szCs w:val="22"/>
          <w:lang w:val="es-ES_tradnl" w:eastAsia="es-ES_tradnl"/>
        </w:rPr>
        <w:t xml:space="preserve">iones que legalmente procedan, se comunicará formalmente por </w:t>
      </w:r>
      <w:r w:rsidRPr="00C8275B">
        <w:rPr>
          <w:rFonts w:ascii="Times New Roman" w:hAnsi="Times New Roman" w:cs="Times New Roman"/>
          <w:i/>
          <w:iCs/>
          <w:sz w:val="22"/>
          <w:szCs w:val="22"/>
          <w:lang w:val="es-ES_tradnl" w:eastAsia="es-ES_tradnl"/>
        </w:rPr>
        <w:t>la Administración a la Sociedad</w:t>
      </w:r>
      <w:r w:rsidR="008005F7" w:rsidRPr="00C8275B">
        <w:rPr>
          <w:rFonts w:ascii="Times New Roman" w:hAnsi="Times New Roman" w:cs="Times New Roman"/>
          <w:i/>
          <w:iCs/>
          <w:sz w:val="22"/>
          <w:szCs w:val="22"/>
          <w:lang w:val="es-ES_tradnl" w:eastAsia="es-ES_tradnl"/>
        </w:rPr>
        <w:t xml:space="preserve"> Municipal haciendo constar, además de los antecedentes </w:t>
      </w:r>
      <w:r w:rsidRPr="00C8275B">
        <w:rPr>
          <w:rFonts w:ascii="Times New Roman" w:hAnsi="Times New Roman" w:cs="Times New Roman"/>
          <w:i/>
          <w:iCs/>
          <w:sz w:val="22"/>
          <w:szCs w:val="22"/>
          <w:lang w:val="es-ES_tradnl" w:eastAsia="es-ES_tradnl"/>
        </w:rPr>
        <w:t>que procedan, la denominac</w:t>
      </w:r>
      <w:r w:rsidR="008005F7" w:rsidRPr="00C8275B">
        <w:rPr>
          <w:rFonts w:ascii="Times New Roman" w:hAnsi="Times New Roman" w:cs="Times New Roman"/>
          <w:i/>
          <w:iCs/>
          <w:sz w:val="22"/>
          <w:szCs w:val="22"/>
          <w:lang w:val="es-ES_tradnl" w:eastAsia="es-ES_tradnl"/>
        </w:rPr>
        <w:t xml:space="preserve">ión de la misma, el plazo de realización, </w:t>
      </w:r>
      <w:r w:rsidRPr="00C8275B">
        <w:rPr>
          <w:rFonts w:ascii="Times New Roman" w:hAnsi="Times New Roman" w:cs="Times New Roman"/>
          <w:i/>
          <w:iCs/>
          <w:sz w:val="22"/>
          <w:szCs w:val="22"/>
          <w:lang w:val="es-ES_tradnl" w:eastAsia="es-ES_tradnl"/>
        </w:rPr>
        <w:t>su</w:t>
      </w:r>
      <w:r w:rsidR="008005F7" w:rsidRPr="00C8275B">
        <w:rPr>
          <w:rFonts w:ascii="Times New Roman" w:hAnsi="Times New Roman" w:cs="Times New Roman"/>
          <w:i/>
          <w:iCs/>
          <w:sz w:val="22"/>
          <w:szCs w:val="22"/>
          <w:lang w:val="es-ES_tradnl" w:eastAsia="es-ES_tradnl"/>
        </w:rPr>
        <w:t xml:space="preserve"> importe, la </w:t>
      </w:r>
      <w:r w:rsidRPr="00C8275B">
        <w:rPr>
          <w:rFonts w:ascii="Times New Roman" w:hAnsi="Times New Roman" w:cs="Times New Roman"/>
          <w:i/>
          <w:iCs/>
          <w:sz w:val="22"/>
          <w:szCs w:val="22"/>
          <w:lang w:val="es-ES_tradnl" w:eastAsia="es-ES_tradnl"/>
        </w:rPr>
        <w:t>aplicación presupuestaria correspondiente y</w:t>
      </w:r>
      <w:r w:rsidR="008005F7" w:rsidRPr="00C8275B">
        <w:rPr>
          <w:rFonts w:ascii="Times New Roman" w:hAnsi="Times New Roman" w:cs="Times New Roman"/>
          <w:i/>
          <w:iCs/>
          <w:sz w:val="22"/>
          <w:szCs w:val="22"/>
          <w:lang w:val="es-ES_tradnl" w:eastAsia="es-ES_tradnl"/>
        </w:rPr>
        <w:t xml:space="preserve">, en su caso, las anualidades en que se financie con    sus respectivas cuantías, así como el responsable técnico designado para </w:t>
      </w:r>
      <w:r w:rsidRPr="00C8275B">
        <w:rPr>
          <w:rFonts w:ascii="Times New Roman" w:hAnsi="Times New Roman" w:cs="Times New Roman"/>
          <w:i/>
          <w:iCs/>
          <w:sz w:val="22"/>
          <w:szCs w:val="22"/>
          <w:lang w:val="es-ES_tradnl" w:eastAsia="es-ES_tradnl"/>
        </w:rPr>
        <w:t xml:space="preserve">cada  actuación.  </w:t>
      </w:r>
      <w:proofErr w:type="gramStart"/>
      <w:r w:rsidRPr="00C8275B">
        <w:rPr>
          <w:rFonts w:ascii="Times New Roman" w:hAnsi="Times New Roman" w:cs="Times New Roman"/>
          <w:i/>
          <w:iCs/>
          <w:sz w:val="22"/>
          <w:szCs w:val="22"/>
          <w:lang w:val="es-ES_tradnl" w:eastAsia="es-ES_tradnl"/>
        </w:rPr>
        <w:t>En  su</w:t>
      </w:r>
      <w:proofErr w:type="gramEnd"/>
      <w:r w:rsidRPr="00C8275B">
        <w:rPr>
          <w:rFonts w:ascii="Times New Roman" w:hAnsi="Times New Roman" w:cs="Times New Roman"/>
          <w:i/>
          <w:iCs/>
          <w:sz w:val="22"/>
          <w:szCs w:val="22"/>
          <w:lang w:val="es-ES_tradnl" w:eastAsia="es-ES_tradnl"/>
        </w:rPr>
        <w:t xml:space="preserve"> caso, también le será facilitado el documento en que se defina  dicha actuación.</w:t>
      </w:r>
    </w:p>
    <w:p w14:paraId="40DAB962"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2206B36E"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La Sociedad Municipal so</w:t>
      </w:r>
      <w:r w:rsidR="00C74FA1" w:rsidRPr="00C8275B">
        <w:rPr>
          <w:rFonts w:ascii="Times New Roman" w:hAnsi="Times New Roman" w:cs="Times New Roman"/>
          <w:i/>
          <w:iCs/>
          <w:sz w:val="22"/>
          <w:szCs w:val="22"/>
          <w:lang w:val="es-ES_tradnl" w:eastAsia="es-ES_tradnl"/>
        </w:rPr>
        <w:t>meterá los contratos necesarios para ejecutar</w:t>
      </w:r>
      <w:r w:rsidRPr="00C8275B">
        <w:rPr>
          <w:rFonts w:ascii="Times New Roman" w:hAnsi="Times New Roman" w:cs="Times New Roman"/>
          <w:i/>
          <w:iCs/>
          <w:sz w:val="22"/>
          <w:szCs w:val="22"/>
          <w:lang w:val="es-ES_tradnl" w:eastAsia="es-ES_tradnl"/>
        </w:rPr>
        <w:t xml:space="preserve"> los </w:t>
      </w:r>
      <w:r w:rsidR="00C74FA1" w:rsidRPr="00C8275B">
        <w:rPr>
          <w:rFonts w:ascii="Times New Roman" w:hAnsi="Times New Roman" w:cs="Times New Roman"/>
          <w:i/>
          <w:iCs/>
          <w:sz w:val="22"/>
          <w:szCs w:val="22"/>
          <w:lang w:val="es-ES_tradnl" w:eastAsia="es-ES_tradnl"/>
        </w:rPr>
        <w:t xml:space="preserve">encargos a </w:t>
      </w:r>
      <w:proofErr w:type="gramStart"/>
      <w:r w:rsidR="00C74FA1" w:rsidRPr="00C8275B">
        <w:rPr>
          <w:rFonts w:ascii="Times New Roman" w:hAnsi="Times New Roman" w:cs="Times New Roman"/>
          <w:i/>
          <w:iCs/>
          <w:sz w:val="22"/>
          <w:szCs w:val="22"/>
          <w:lang w:val="es-ES_tradnl" w:eastAsia="es-ES_tradnl"/>
        </w:rPr>
        <w:t>las  prescripciones</w:t>
      </w:r>
      <w:proofErr w:type="gramEnd"/>
      <w:r w:rsidR="00C74FA1" w:rsidRPr="00C8275B">
        <w:rPr>
          <w:rFonts w:ascii="Times New Roman" w:hAnsi="Times New Roman" w:cs="Times New Roman"/>
          <w:i/>
          <w:iCs/>
          <w:sz w:val="22"/>
          <w:szCs w:val="22"/>
          <w:lang w:val="es-ES_tradnl" w:eastAsia="es-ES_tradnl"/>
        </w:rPr>
        <w:t xml:space="preserve"> de la Ley de </w:t>
      </w:r>
      <w:r w:rsidRPr="00C8275B">
        <w:rPr>
          <w:rFonts w:ascii="Times New Roman" w:hAnsi="Times New Roman" w:cs="Times New Roman"/>
          <w:i/>
          <w:iCs/>
          <w:sz w:val="22"/>
          <w:szCs w:val="22"/>
          <w:lang w:val="es-ES_tradnl" w:eastAsia="es-ES_tradnl"/>
        </w:rPr>
        <w:t>Contratos del Sector Público.</w:t>
      </w:r>
    </w:p>
    <w:p w14:paraId="761E39BB"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0099B2AC"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Finalizada la actuación, se real</w:t>
      </w:r>
      <w:r w:rsidR="00C74FA1" w:rsidRPr="00C8275B">
        <w:rPr>
          <w:rFonts w:ascii="Times New Roman" w:hAnsi="Times New Roman" w:cs="Times New Roman"/>
          <w:i/>
          <w:iCs/>
          <w:sz w:val="22"/>
          <w:szCs w:val="22"/>
          <w:lang w:val="es-ES_tradnl" w:eastAsia="es-ES_tradnl"/>
        </w:rPr>
        <w:t xml:space="preserve">izará </w:t>
      </w:r>
      <w:r w:rsidRPr="00C8275B">
        <w:rPr>
          <w:rFonts w:ascii="Times New Roman" w:hAnsi="Times New Roman" w:cs="Times New Roman"/>
          <w:i/>
          <w:iCs/>
          <w:sz w:val="22"/>
          <w:szCs w:val="22"/>
          <w:lang w:val="es-ES_tradnl" w:eastAsia="es-ES_tradnl"/>
        </w:rPr>
        <w:t>su reconocimiento y comprobación en los términos legalmente establecidos, extendiéndose el document</w:t>
      </w:r>
      <w:r w:rsidR="00C74FA1" w:rsidRPr="00C8275B">
        <w:rPr>
          <w:rFonts w:ascii="Times New Roman" w:hAnsi="Times New Roman" w:cs="Times New Roman"/>
          <w:i/>
          <w:iCs/>
          <w:sz w:val="22"/>
          <w:szCs w:val="22"/>
          <w:lang w:val="es-ES_tradnl" w:eastAsia="es-ES_tradnl"/>
        </w:rPr>
        <w:t>o correspondiente y procediendo</w:t>
      </w:r>
      <w:r w:rsidRPr="00C8275B">
        <w:rPr>
          <w:rFonts w:ascii="Times New Roman" w:hAnsi="Times New Roman" w:cs="Times New Roman"/>
          <w:i/>
          <w:iCs/>
          <w:sz w:val="22"/>
          <w:szCs w:val="22"/>
          <w:lang w:val="es-ES_tradnl" w:eastAsia="es-ES_tradnl"/>
        </w:rPr>
        <w:t xml:space="preserve"> su liquidació</w:t>
      </w:r>
      <w:r w:rsidR="00C74FA1" w:rsidRPr="00C8275B">
        <w:rPr>
          <w:rFonts w:ascii="Times New Roman" w:hAnsi="Times New Roman" w:cs="Times New Roman"/>
          <w:i/>
          <w:iCs/>
          <w:sz w:val="22"/>
          <w:szCs w:val="22"/>
          <w:lang w:val="es-ES_tradnl" w:eastAsia="es-ES_tradnl"/>
        </w:rPr>
        <w:t xml:space="preserve">n en el plazo de los seis </w:t>
      </w:r>
      <w:r w:rsidRPr="00C8275B">
        <w:rPr>
          <w:rFonts w:ascii="Times New Roman" w:hAnsi="Times New Roman" w:cs="Times New Roman"/>
          <w:i/>
          <w:iCs/>
          <w:sz w:val="22"/>
          <w:szCs w:val="22"/>
          <w:lang w:val="es-ES_tradnl" w:eastAsia="es-ES_tradnl"/>
        </w:rPr>
        <w:t>meses siguientes.</w:t>
      </w:r>
    </w:p>
    <w:p w14:paraId="23682E27" w14:textId="77777777" w:rsidR="00250407" w:rsidRPr="00C8275B" w:rsidRDefault="00250407" w:rsidP="00250407">
      <w:pPr>
        <w:shd w:val="clear" w:color="auto" w:fill="FFFFFF"/>
        <w:ind w:left="2127" w:right="29"/>
        <w:jc w:val="both"/>
        <w:rPr>
          <w:rFonts w:ascii="Times New Roman" w:hAnsi="Times New Roman" w:cs="Times New Roman"/>
          <w:i/>
          <w:iCs/>
          <w:sz w:val="22"/>
          <w:szCs w:val="22"/>
          <w:lang w:val="es-ES_tradnl" w:eastAsia="es-ES_tradnl"/>
        </w:rPr>
      </w:pPr>
    </w:p>
    <w:p w14:paraId="6EBF5473" w14:textId="77777777" w:rsidR="00250407" w:rsidRPr="00C8275B" w:rsidRDefault="00C74FA1" w:rsidP="00250407">
      <w:pPr>
        <w:shd w:val="clear" w:color="auto" w:fill="FFFFFF"/>
        <w:ind w:left="2127" w:right="29"/>
        <w:jc w:val="both"/>
        <w:rPr>
          <w:rFonts w:ascii="Times New Roman" w:hAnsi="Times New Roman" w:cs="Times New Roman"/>
          <w:i/>
          <w:iCs/>
          <w:sz w:val="22"/>
          <w:szCs w:val="22"/>
          <w:lang w:val="es-ES_tradnl" w:eastAsia="es-ES_tradnl"/>
        </w:rPr>
      </w:pPr>
      <w:r w:rsidRPr="00C8275B">
        <w:rPr>
          <w:rFonts w:ascii="Times New Roman" w:hAnsi="Times New Roman" w:cs="Times New Roman"/>
          <w:i/>
          <w:iCs/>
          <w:sz w:val="22"/>
          <w:szCs w:val="22"/>
          <w:lang w:val="es-ES_tradnl" w:eastAsia="es-ES_tradnl"/>
        </w:rPr>
        <w:t xml:space="preserve">En ningún caso la </w:t>
      </w:r>
      <w:r w:rsidR="00250407" w:rsidRPr="00C8275B">
        <w:rPr>
          <w:rFonts w:ascii="Times New Roman" w:hAnsi="Times New Roman" w:cs="Times New Roman"/>
          <w:i/>
          <w:iCs/>
          <w:sz w:val="22"/>
          <w:szCs w:val="22"/>
          <w:lang w:val="es-ES_tradnl" w:eastAsia="es-ES_tradnl"/>
        </w:rPr>
        <w:t>Sociedad Municipal podrá particip</w:t>
      </w:r>
      <w:r w:rsidRPr="00C8275B">
        <w:rPr>
          <w:rFonts w:ascii="Times New Roman" w:hAnsi="Times New Roman" w:cs="Times New Roman"/>
          <w:i/>
          <w:iCs/>
          <w:sz w:val="22"/>
          <w:szCs w:val="22"/>
          <w:lang w:val="es-ES_tradnl" w:eastAsia="es-ES_tradnl"/>
        </w:rPr>
        <w:t xml:space="preserve">ar en </w:t>
      </w:r>
      <w:r w:rsidR="00250407" w:rsidRPr="00C8275B">
        <w:rPr>
          <w:rFonts w:ascii="Times New Roman" w:hAnsi="Times New Roman" w:cs="Times New Roman"/>
          <w:i/>
          <w:iCs/>
          <w:sz w:val="22"/>
          <w:szCs w:val="22"/>
          <w:lang w:val="es-ES_tradnl" w:eastAsia="es-ES_tradnl"/>
        </w:rPr>
        <w:t>aquellas licitaciones púb</w:t>
      </w:r>
      <w:r w:rsidRPr="00C8275B">
        <w:rPr>
          <w:rFonts w:ascii="Times New Roman" w:hAnsi="Times New Roman" w:cs="Times New Roman"/>
          <w:i/>
          <w:iCs/>
          <w:sz w:val="22"/>
          <w:szCs w:val="22"/>
          <w:lang w:val="es-ES_tradnl" w:eastAsia="es-ES_tradnl"/>
        </w:rPr>
        <w:t xml:space="preserve">licas convocadas por su poder adjudicador, sin perjuicio </w:t>
      </w:r>
      <w:r w:rsidR="00250407" w:rsidRPr="00C8275B">
        <w:rPr>
          <w:rFonts w:ascii="Times New Roman" w:hAnsi="Times New Roman" w:cs="Times New Roman"/>
          <w:i/>
          <w:iCs/>
          <w:sz w:val="22"/>
          <w:szCs w:val="22"/>
          <w:lang w:val="es-ES_tradnl" w:eastAsia="es-ES_tradnl"/>
        </w:rPr>
        <w:t xml:space="preserve">de que, cuando </w:t>
      </w:r>
      <w:proofErr w:type="gramStart"/>
      <w:r w:rsidR="00250407" w:rsidRPr="00C8275B">
        <w:rPr>
          <w:rFonts w:ascii="Times New Roman" w:hAnsi="Times New Roman" w:cs="Times New Roman"/>
          <w:i/>
          <w:iCs/>
          <w:sz w:val="22"/>
          <w:szCs w:val="22"/>
          <w:lang w:val="es-ES_tradnl" w:eastAsia="es-ES_tradnl"/>
        </w:rPr>
        <w:t>no  concurra</w:t>
      </w:r>
      <w:proofErr w:type="gramEnd"/>
      <w:r w:rsidR="00250407" w:rsidRPr="00C8275B">
        <w:rPr>
          <w:rFonts w:ascii="Times New Roman" w:hAnsi="Times New Roman" w:cs="Times New Roman"/>
          <w:i/>
          <w:iCs/>
          <w:sz w:val="22"/>
          <w:szCs w:val="22"/>
          <w:lang w:val="es-ES_tradnl" w:eastAsia="es-ES_tradnl"/>
        </w:rPr>
        <w:t xml:space="preserve"> ningún licitador, el Ayuntamiento de Las Palmas de Gran Canaria decida hacer el encargo de la ejecución de la prestación a la Sociedad Municipal.”</w:t>
      </w:r>
    </w:p>
    <w:p w14:paraId="3D17B3A8" w14:textId="77777777" w:rsidR="00250407" w:rsidRPr="00C8275B" w:rsidRDefault="00250407" w:rsidP="00250407">
      <w:pPr>
        <w:shd w:val="clear" w:color="auto" w:fill="FFFFFF"/>
        <w:ind w:left="720" w:right="29"/>
        <w:jc w:val="both"/>
        <w:rPr>
          <w:rFonts w:ascii="Times New Roman" w:hAnsi="Times New Roman" w:cs="Times New Roman"/>
          <w:sz w:val="22"/>
          <w:szCs w:val="22"/>
          <w:lang w:val="es-ES_tradnl" w:eastAsia="es-ES_tradnl"/>
        </w:rPr>
      </w:pPr>
    </w:p>
    <w:p w14:paraId="5153F73E" w14:textId="77777777" w:rsidR="006C0067" w:rsidRPr="00C8275B" w:rsidRDefault="006C0067" w:rsidP="006C0067">
      <w:pPr>
        <w:shd w:val="clear" w:color="auto" w:fill="FFFFFF"/>
        <w:ind w:left="720" w:right="2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z w:val="22"/>
          <w:szCs w:val="22"/>
          <w:lang w:val="es-ES_tradnl" w:eastAsia="es-ES_tradnl"/>
        </w:rPr>
        <w:t xml:space="preserve">La moneda funcional de la Sociedad es el euro. Consecuentemente, las operaciones en </w:t>
      </w:r>
      <w:r w:rsidRPr="00C8275B">
        <w:rPr>
          <w:rFonts w:ascii="Times New Roman" w:hAnsi="Times New Roman" w:cs="Times New Roman"/>
          <w:spacing w:val="-2"/>
          <w:sz w:val="22"/>
          <w:szCs w:val="22"/>
          <w:lang w:val="es-ES_tradnl" w:eastAsia="es-ES_tradnl"/>
        </w:rPr>
        <w:t>otras divisas distintas del euro se consideran denominadas en "moneda extranjera".</w:t>
      </w:r>
    </w:p>
    <w:p w14:paraId="1D40DCBE" w14:textId="77777777" w:rsidR="006C0067" w:rsidRPr="00C8275B" w:rsidRDefault="006C0067" w:rsidP="0070122B">
      <w:pPr>
        <w:shd w:val="clear" w:color="auto" w:fill="FFFFFF"/>
        <w:tabs>
          <w:tab w:val="left" w:pos="709"/>
          <w:tab w:val="left" w:pos="993"/>
          <w:tab w:val="left" w:pos="8820"/>
        </w:tabs>
        <w:spacing w:before="522"/>
        <w:ind w:left="709"/>
        <w:jc w:val="both"/>
        <w:rPr>
          <w:rFonts w:ascii="Times New Roman" w:hAnsi="Times New Roman" w:cs="Times New Roman"/>
          <w:sz w:val="22"/>
          <w:szCs w:val="22"/>
        </w:rPr>
      </w:pPr>
      <w:r w:rsidRPr="00C8275B">
        <w:rPr>
          <w:rFonts w:ascii="Times New Roman" w:hAnsi="Times New Roman" w:cs="Times New Roman"/>
          <w:b/>
          <w:bCs/>
          <w:spacing w:val="-4"/>
          <w:sz w:val="22"/>
          <w:szCs w:val="22"/>
          <w:lang w:val="es-ES_tradnl" w:eastAsia="es-ES_tradnl"/>
        </w:rPr>
        <w:t xml:space="preserve">2. </w:t>
      </w:r>
      <w:r w:rsidRPr="00C8275B">
        <w:rPr>
          <w:rFonts w:ascii="Times New Roman" w:hAnsi="Times New Roman" w:cs="Times New Roman"/>
          <w:b/>
          <w:bCs/>
          <w:spacing w:val="-4"/>
          <w:sz w:val="22"/>
          <w:szCs w:val="22"/>
          <w:u w:val="double"/>
          <w:lang w:val="es-ES_tradnl" w:eastAsia="es-ES_tradnl"/>
        </w:rPr>
        <w:t>BASES DE PRESENTACIÓN DE LAS CUENTAS ANUALES</w:t>
      </w:r>
      <w:r w:rsidRPr="00C8275B">
        <w:rPr>
          <w:rFonts w:ascii="Times New Roman" w:hAnsi="Times New Roman" w:cs="Times New Roman"/>
          <w:b/>
          <w:bCs/>
          <w:spacing w:val="-4"/>
          <w:sz w:val="22"/>
          <w:szCs w:val="22"/>
          <w:lang w:val="es-ES_tradnl" w:eastAsia="es-ES_tradnl"/>
        </w:rPr>
        <w:tab/>
      </w:r>
    </w:p>
    <w:p w14:paraId="5C6128FB" w14:textId="77777777" w:rsidR="007D08CD" w:rsidRPr="00C8275B" w:rsidRDefault="007D08CD"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p>
    <w:p w14:paraId="166E1BB9" w14:textId="77777777" w:rsidR="006C0067" w:rsidRPr="00C8275B" w:rsidRDefault="006C0067" w:rsidP="007D08CD">
      <w:pPr>
        <w:shd w:val="clear" w:color="auto" w:fill="FFFFFF"/>
        <w:tabs>
          <w:tab w:val="left" w:pos="1134"/>
        </w:tabs>
        <w:spacing w:line="360" w:lineRule="auto"/>
        <w:ind w:left="709"/>
        <w:jc w:val="both"/>
        <w:rPr>
          <w:rFonts w:ascii="Times New Roman" w:hAnsi="Times New Roman" w:cs="Times New Roman"/>
          <w:b/>
          <w:bCs/>
          <w:spacing w:val="-6"/>
          <w:sz w:val="22"/>
          <w:szCs w:val="22"/>
          <w:lang w:val="es-ES_tradnl" w:eastAsia="es-ES_tradnl"/>
        </w:rPr>
      </w:pPr>
      <w:r w:rsidRPr="00C8275B">
        <w:rPr>
          <w:rFonts w:ascii="Times New Roman" w:hAnsi="Times New Roman" w:cs="Times New Roman"/>
          <w:b/>
          <w:bCs/>
          <w:spacing w:val="-6"/>
          <w:sz w:val="22"/>
          <w:szCs w:val="22"/>
          <w:lang w:val="es-ES_tradnl" w:eastAsia="es-ES_tradnl"/>
        </w:rPr>
        <w:t>2.1</w:t>
      </w:r>
      <w:r w:rsidRPr="00C8275B">
        <w:rPr>
          <w:rFonts w:ascii="Times New Roman" w:hAnsi="Times New Roman" w:cs="Times New Roman"/>
          <w:b/>
          <w:bCs/>
          <w:spacing w:val="-6"/>
          <w:sz w:val="22"/>
          <w:szCs w:val="22"/>
          <w:lang w:val="es-ES_tradnl" w:eastAsia="es-ES_tradnl"/>
        </w:rPr>
        <w:tab/>
        <w:t>Imagen fiel:</w:t>
      </w:r>
    </w:p>
    <w:p w14:paraId="192A4953" w14:textId="77777777" w:rsidR="007D08CD" w:rsidRPr="00C8275B" w:rsidRDefault="007D08CD" w:rsidP="007D08CD">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Las cuentas anuales se han preparado a partir de los registros contables de la Sociedad y se presentan de acuerdo con la legislación mercantil vigente y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14:paraId="064BA2B6" w14:textId="77777777" w:rsidR="006C0067" w:rsidRPr="00C8275B" w:rsidRDefault="006C0067" w:rsidP="00FB3062">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 xml:space="preserve">Estas cuentas anuales han sido formuladas por el Consejo de Administración y se someterán a la aprobación del Pleno del </w:t>
      </w:r>
      <w:r w:rsidR="00A91F42" w:rsidRPr="00C8275B">
        <w:rPr>
          <w:rFonts w:ascii="Times New Roman" w:hAnsi="Times New Roman" w:cs="Times New Roman"/>
          <w:color w:val="auto"/>
          <w:sz w:val="22"/>
          <w:szCs w:val="22"/>
          <w:lang w:val="es-ES_tradnl" w:eastAsia="es-ES_tradnl"/>
        </w:rPr>
        <w:t>Excmo. Ayuntamiento de Las Palmas de Gran Canaria</w:t>
      </w:r>
      <w:r w:rsidRPr="00C8275B">
        <w:rPr>
          <w:rFonts w:ascii="Times New Roman" w:hAnsi="Times New Roman" w:cs="Times New Roman"/>
          <w:color w:val="auto"/>
          <w:sz w:val="22"/>
          <w:szCs w:val="22"/>
          <w:lang w:val="es-ES_tradnl" w:eastAsia="es-ES_tradnl"/>
        </w:rPr>
        <w:t>, estimándose que serán aprobadas sin modificación alguna.</w:t>
      </w:r>
    </w:p>
    <w:p w14:paraId="1EADE461" w14:textId="77777777" w:rsidR="006A4953" w:rsidRPr="00C8275B" w:rsidRDefault="006A4953" w:rsidP="006A4953">
      <w:pPr>
        <w:pStyle w:val="Default"/>
        <w:spacing w:after="240" w:line="276" w:lineRule="auto"/>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Las c</w:t>
      </w:r>
      <w:r w:rsidR="00FF288A" w:rsidRPr="00C8275B">
        <w:rPr>
          <w:rFonts w:ascii="Times New Roman" w:hAnsi="Times New Roman" w:cs="Times New Roman"/>
          <w:color w:val="auto"/>
          <w:sz w:val="22"/>
          <w:szCs w:val="22"/>
          <w:lang w:val="es-ES_tradnl" w:eastAsia="es-ES_tradnl"/>
        </w:rPr>
        <w:t xml:space="preserve">uentas anuales del ejercicio </w:t>
      </w:r>
      <w:r w:rsidR="00AD14B0" w:rsidRPr="00C8275B">
        <w:rPr>
          <w:rFonts w:ascii="Times New Roman" w:hAnsi="Times New Roman" w:cs="Times New Roman"/>
          <w:color w:val="auto"/>
          <w:sz w:val="22"/>
          <w:szCs w:val="22"/>
          <w:lang w:val="es-ES_tradnl" w:eastAsia="es-ES_tradnl"/>
        </w:rPr>
        <w:t>2021</w:t>
      </w:r>
      <w:r w:rsidRPr="00C8275B">
        <w:rPr>
          <w:rFonts w:ascii="Times New Roman" w:hAnsi="Times New Roman" w:cs="Times New Roman"/>
          <w:color w:val="auto"/>
          <w:sz w:val="22"/>
          <w:szCs w:val="22"/>
          <w:lang w:val="es-ES_tradnl" w:eastAsia="es-ES_tradnl"/>
        </w:rPr>
        <w:t xml:space="preserve"> fueron aprobadas por el Pleno del Excmo. </w:t>
      </w:r>
      <w:r w:rsidR="00A91F42" w:rsidRPr="00C8275B">
        <w:rPr>
          <w:rFonts w:ascii="Times New Roman" w:hAnsi="Times New Roman" w:cs="Times New Roman"/>
          <w:color w:val="auto"/>
          <w:sz w:val="22"/>
          <w:szCs w:val="22"/>
          <w:lang w:val="es-ES_tradnl" w:eastAsia="es-ES_tradnl"/>
        </w:rPr>
        <w:t>Ayuntamiento</w:t>
      </w:r>
      <w:r w:rsidRPr="00C8275B">
        <w:rPr>
          <w:rFonts w:ascii="Times New Roman" w:hAnsi="Times New Roman" w:cs="Times New Roman"/>
          <w:color w:val="auto"/>
          <w:sz w:val="22"/>
          <w:szCs w:val="22"/>
          <w:lang w:val="es-ES_tradnl" w:eastAsia="es-ES_tradnl"/>
        </w:rPr>
        <w:t xml:space="preserve"> de Las Palmas de Gran Canaria</w:t>
      </w:r>
      <w:r w:rsidR="00FF288A" w:rsidRPr="00C8275B">
        <w:rPr>
          <w:rFonts w:ascii="Times New Roman" w:hAnsi="Times New Roman" w:cs="Times New Roman"/>
          <w:color w:val="auto"/>
          <w:sz w:val="22"/>
          <w:szCs w:val="22"/>
          <w:lang w:val="es-ES_tradnl" w:eastAsia="es-ES_tradnl"/>
        </w:rPr>
        <w:t>.</w:t>
      </w:r>
    </w:p>
    <w:p w14:paraId="101F22ED" w14:textId="77777777" w:rsidR="006C0067" w:rsidRPr="00C8275B" w:rsidRDefault="006C0067" w:rsidP="00A11014">
      <w:pPr>
        <w:shd w:val="clear" w:color="auto" w:fill="FFFFFF"/>
        <w:tabs>
          <w:tab w:val="left" w:pos="1134"/>
        </w:tabs>
        <w:spacing w:before="47" w:line="360" w:lineRule="auto"/>
        <w:ind w:left="709"/>
        <w:jc w:val="both"/>
        <w:rPr>
          <w:rFonts w:ascii="Times New Roman" w:hAnsi="Times New Roman" w:cs="Times New Roman"/>
          <w:sz w:val="22"/>
          <w:szCs w:val="22"/>
        </w:rPr>
      </w:pPr>
      <w:r w:rsidRPr="00C8275B">
        <w:rPr>
          <w:rFonts w:ascii="Times New Roman" w:hAnsi="Times New Roman" w:cs="Times New Roman"/>
          <w:b/>
          <w:bCs/>
          <w:spacing w:val="-6"/>
          <w:sz w:val="22"/>
          <w:szCs w:val="22"/>
          <w:lang w:val="es-ES_tradnl" w:eastAsia="es-ES_tradnl"/>
        </w:rPr>
        <w:t>2.2</w:t>
      </w:r>
      <w:r w:rsidRPr="00C8275B">
        <w:rPr>
          <w:rFonts w:ascii="Times New Roman" w:hAnsi="Times New Roman" w:cs="Times New Roman"/>
          <w:b/>
          <w:bCs/>
          <w:sz w:val="22"/>
          <w:szCs w:val="22"/>
          <w:lang w:val="es-ES_tradnl" w:eastAsia="es-ES_tradnl"/>
        </w:rPr>
        <w:tab/>
      </w:r>
      <w:r w:rsidRPr="00C8275B">
        <w:rPr>
          <w:rFonts w:ascii="Times New Roman" w:hAnsi="Times New Roman" w:cs="Times New Roman"/>
          <w:b/>
          <w:bCs/>
          <w:spacing w:val="-3"/>
          <w:sz w:val="22"/>
          <w:szCs w:val="22"/>
          <w:lang w:val="es-ES_tradnl" w:eastAsia="es-ES_tradnl"/>
        </w:rPr>
        <w:t>Principios contables no obligatorios aplicados:</w:t>
      </w:r>
    </w:p>
    <w:p w14:paraId="158B8EBB" w14:textId="77777777" w:rsidR="006C0067" w:rsidRPr="00C8275B" w:rsidRDefault="006C0067" w:rsidP="006C0067">
      <w:pPr>
        <w:shd w:val="clear" w:color="auto" w:fill="FFFFFF"/>
        <w:spacing w:line="360" w:lineRule="auto"/>
        <w:ind w:firstLine="708"/>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No se han aplicado principios contables no obligatorios.</w:t>
      </w:r>
    </w:p>
    <w:p w14:paraId="25EF4AFE" w14:textId="77777777" w:rsidR="006C0067" w:rsidRPr="00C8275B" w:rsidRDefault="006C0067" w:rsidP="006C0067">
      <w:pPr>
        <w:shd w:val="clear" w:color="auto" w:fill="FFFFFF"/>
        <w:ind w:left="1948" w:firstLine="720"/>
        <w:jc w:val="both"/>
        <w:rPr>
          <w:rFonts w:ascii="Times New Roman" w:hAnsi="Times New Roman" w:cs="Times New Roman"/>
          <w:sz w:val="22"/>
          <w:szCs w:val="22"/>
        </w:rPr>
      </w:pPr>
    </w:p>
    <w:p w14:paraId="681CA872" w14:textId="77777777" w:rsidR="00487A36" w:rsidRPr="00C8275B" w:rsidRDefault="00487A36" w:rsidP="00487A36">
      <w:pPr>
        <w:shd w:val="clear" w:color="auto" w:fill="FFFFFF"/>
        <w:spacing w:before="4"/>
        <w:ind w:left="709"/>
        <w:jc w:val="both"/>
        <w:rPr>
          <w:rFonts w:ascii="Times New Roman" w:hAnsi="Times New Roman" w:cs="Times New Roman"/>
          <w:sz w:val="22"/>
          <w:szCs w:val="22"/>
        </w:rPr>
      </w:pPr>
      <w:r w:rsidRPr="00C8275B">
        <w:rPr>
          <w:rFonts w:ascii="Times New Roman" w:hAnsi="Times New Roman" w:cs="Times New Roman"/>
          <w:b/>
          <w:bCs/>
          <w:spacing w:val="-5"/>
          <w:sz w:val="22"/>
          <w:szCs w:val="22"/>
          <w:lang w:val="es-ES_tradnl" w:eastAsia="es-ES_tradnl"/>
        </w:rPr>
        <w:t>2.3</w:t>
      </w:r>
      <w:r w:rsidRPr="00C8275B">
        <w:rPr>
          <w:rFonts w:ascii="Times New Roman" w:hAnsi="Times New Roman" w:cs="Times New Roman"/>
          <w:b/>
          <w:bCs/>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Aspectos críticos de la valoración y estimación de la incertidumbre:</w:t>
      </w:r>
    </w:p>
    <w:p w14:paraId="2E7703C4" w14:textId="77777777" w:rsidR="00487A36" w:rsidRPr="00C8275B" w:rsidRDefault="00487A36" w:rsidP="00487A36">
      <w:pPr>
        <w:shd w:val="clear" w:color="auto" w:fill="FFFFFF"/>
        <w:spacing w:before="173"/>
        <w:ind w:left="720" w:right="6"/>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formular las cuentas anuales requieran modificar estas estimaciones en ejercicios futuros.</w:t>
      </w:r>
    </w:p>
    <w:p w14:paraId="26D854B1" w14:textId="77777777" w:rsidR="00E54727" w:rsidRPr="00C8275B" w:rsidRDefault="00E54727" w:rsidP="00E54727">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Sociedad ha elaborado las cuentas anuales del ejercicio </w:t>
      </w:r>
      <w:r w:rsidR="00AD14B0" w:rsidRPr="00C8275B">
        <w:rPr>
          <w:rFonts w:ascii="Times New Roman" w:hAnsi="Times New Roman" w:cs="Times New Roman"/>
          <w:spacing w:val="-1"/>
          <w:sz w:val="22"/>
          <w:szCs w:val="22"/>
          <w:lang w:val="es-ES_tradnl" w:eastAsia="es-ES_tradnl"/>
        </w:rPr>
        <w:t>2022</w:t>
      </w:r>
      <w:r w:rsidRPr="00C8275B">
        <w:rPr>
          <w:rFonts w:ascii="Times New Roman" w:hAnsi="Times New Roman" w:cs="Times New Roman"/>
          <w:spacing w:val="-1"/>
          <w:sz w:val="22"/>
          <w:szCs w:val="22"/>
          <w:lang w:val="es-ES_tradnl" w:eastAsia="es-ES_tradnl"/>
        </w:rPr>
        <w:t xml:space="preserve"> bajo el principio de empresa en funcionamiento, habiendo tenido en consideración la situación actual del COVID-19 así como sus posibles efectos en la economía en general y en su entidad en particular, no existiendo riesgo para la continuidad de su actividad</w:t>
      </w:r>
      <w:r w:rsidR="00B769D6" w:rsidRPr="00C8275B">
        <w:rPr>
          <w:rFonts w:ascii="Times New Roman" w:hAnsi="Times New Roman" w:cs="Times New Roman"/>
          <w:spacing w:val="-1"/>
          <w:sz w:val="22"/>
          <w:szCs w:val="22"/>
          <w:lang w:val="es-ES_tradnl" w:eastAsia="es-ES_tradnl"/>
        </w:rPr>
        <w:t>.</w:t>
      </w:r>
    </w:p>
    <w:p w14:paraId="5435BFA6"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En las cuentas anuales adjuntas se ha utilizado estimaciones realizadas por la Dirección de la Sociedad para cuantificar los activos, pasivos, ingresos, gastos y compromisos que figuran registrados en ella, </w:t>
      </w:r>
      <w:proofErr w:type="gramStart"/>
      <w:r w:rsidRPr="00C8275B">
        <w:rPr>
          <w:rFonts w:ascii="Times New Roman" w:hAnsi="Times New Roman" w:cs="Times New Roman"/>
          <w:spacing w:val="-1"/>
          <w:sz w:val="22"/>
          <w:szCs w:val="22"/>
          <w:lang w:val="es-ES_tradnl" w:eastAsia="es-ES_tradnl"/>
        </w:rPr>
        <w:t>que</w:t>
      </w:r>
      <w:proofErr w:type="gramEnd"/>
      <w:r w:rsidRPr="00C8275B">
        <w:rPr>
          <w:rFonts w:ascii="Times New Roman" w:hAnsi="Times New Roman" w:cs="Times New Roman"/>
          <w:spacing w:val="-1"/>
          <w:sz w:val="22"/>
          <w:szCs w:val="22"/>
          <w:lang w:val="es-ES_tradnl" w:eastAsia="es-ES_tradnl"/>
        </w:rPr>
        <w:t xml:space="preserve"> en su caso</w:t>
      </w:r>
      <w:r w:rsidR="00FF288A" w:rsidRPr="00C8275B">
        <w:rPr>
          <w:rFonts w:ascii="Times New Roman" w:hAnsi="Times New Roman" w:cs="Times New Roman"/>
          <w:spacing w:val="-1"/>
          <w:sz w:val="22"/>
          <w:szCs w:val="22"/>
          <w:lang w:val="es-ES_tradnl" w:eastAsia="es-ES_tradnl"/>
        </w:rPr>
        <w:t>,</w:t>
      </w:r>
      <w:r w:rsidRPr="00C8275B">
        <w:rPr>
          <w:rFonts w:ascii="Times New Roman" w:hAnsi="Times New Roman" w:cs="Times New Roman"/>
          <w:spacing w:val="-1"/>
          <w:sz w:val="22"/>
          <w:szCs w:val="22"/>
          <w:lang w:val="es-ES_tradnl" w:eastAsia="es-ES_tradnl"/>
        </w:rPr>
        <w:t xml:space="preserve"> se describirán a lo largo de la presente memoria.</w:t>
      </w:r>
    </w:p>
    <w:p w14:paraId="2D0629BC"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Básicamente, estas estimaciones se refieren a:</w:t>
      </w:r>
    </w:p>
    <w:p w14:paraId="607BD063"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Vida útil de los activos materiales </w:t>
      </w:r>
      <w:proofErr w:type="gramStart"/>
      <w:r w:rsidRPr="00C8275B">
        <w:rPr>
          <w:rFonts w:ascii="Times New Roman" w:hAnsi="Times New Roman" w:cs="Times New Roman"/>
          <w:spacing w:val="-1"/>
          <w:sz w:val="22"/>
          <w:szCs w:val="22"/>
          <w:lang w:val="es-ES_tradnl" w:eastAsia="es-ES_tradnl"/>
        </w:rPr>
        <w:t>e  intangibles</w:t>
      </w:r>
      <w:proofErr w:type="gramEnd"/>
      <w:r w:rsidRPr="00C8275B">
        <w:rPr>
          <w:rFonts w:ascii="Times New Roman" w:hAnsi="Times New Roman" w:cs="Times New Roman"/>
          <w:spacing w:val="-1"/>
          <w:sz w:val="22"/>
          <w:szCs w:val="22"/>
          <w:lang w:val="es-ES_tradnl" w:eastAsia="es-ES_tradnl"/>
        </w:rPr>
        <w:t>.</w:t>
      </w:r>
    </w:p>
    <w:p w14:paraId="08F63D8F"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Las estimaciones realizadas para la determinación de los compromisos de pagos futuros.</w:t>
      </w:r>
    </w:p>
    <w:p w14:paraId="69A45763"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La probabilidad de ocurrencia y el importe de los pasivos indeterminados o contingentes.</w:t>
      </w:r>
    </w:p>
    <w:p w14:paraId="60B952E5" w14:textId="77777777" w:rsidR="009344BE" w:rsidRPr="00C8275B" w:rsidRDefault="009344BE" w:rsidP="009344BE">
      <w:pPr>
        <w:pStyle w:val="Prrafodelista"/>
        <w:numPr>
          <w:ilvl w:val="0"/>
          <w:numId w:val="15"/>
        </w:numPr>
        <w:shd w:val="clear" w:color="auto" w:fill="FFFFFF"/>
        <w:spacing w:before="216"/>
        <w:ind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Deterioro de saldos de cuentas a cobrar y activos financieros.</w:t>
      </w:r>
    </w:p>
    <w:p w14:paraId="40AE048A" w14:textId="77777777" w:rsidR="009344BE" w:rsidRPr="00C8275B" w:rsidRDefault="009344BE" w:rsidP="009344BE">
      <w:pPr>
        <w:shd w:val="clear" w:color="auto" w:fill="FFFFFF"/>
        <w:spacing w:before="216"/>
        <w:ind w:left="720" w:right="43"/>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14:paraId="6EF10ACE" w14:textId="77777777" w:rsidR="00A70904" w:rsidRPr="00C8275B" w:rsidRDefault="00A70904" w:rsidP="00A70904">
      <w:pPr>
        <w:shd w:val="clear" w:color="auto" w:fill="FFFFFF"/>
        <w:spacing w:before="4"/>
        <w:ind w:left="709"/>
        <w:jc w:val="both"/>
        <w:rPr>
          <w:rFonts w:ascii="Times New Roman" w:hAnsi="Times New Roman" w:cs="Times New Roman"/>
          <w:b/>
          <w:bCs/>
          <w:spacing w:val="-4"/>
          <w:sz w:val="22"/>
          <w:szCs w:val="22"/>
          <w:lang w:val="es-ES_tradnl" w:eastAsia="es-ES_tradnl"/>
        </w:rPr>
      </w:pPr>
    </w:p>
    <w:p w14:paraId="30387786" w14:textId="77777777" w:rsidR="006C0067" w:rsidRPr="00C8275B" w:rsidRDefault="006C0067" w:rsidP="00A70904">
      <w:pPr>
        <w:shd w:val="clear" w:color="auto" w:fill="FFFFFF"/>
        <w:spacing w:before="4"/>
        <w:ind w:left="709"/>
        <w:jc w:val="both"/>
        <w:rPr>
          <w:rFonts w:ascii="Times New Roman" w:hAnsi="Times New Roman" w:cs="Times New Roman"/>
          <w:b/>
          <w:bCs/>
          <w:spacing w:val="-3"/>
          <w:sz w:val="22"/>
          <w:szCs w:val="22"/>
          <w:lang w:val="es-ES_tradnl" w:eastAsia="es-ES_tradnl"/>
        </w:rPr>
      </w:pPr>
      <w:proofErr w:type="gramStart"/>
      <w:r w:rsidRPr="00C8275B">
        <w:rPr>
          <w:rFonts w:ascii="Times New Roman" w:hAnsi="Times New Roman" w:cs="Times New Roman"/>
          <w:b/>
          <w:bCs/>
          <w:spacing w:val="-4"/>
          <w:sz w:val="22"/>
          <w:szCs w:val="22"/>
          <w:lang w:val="es-ES_tradnl" w:eastAsia="es-ES_tradnl"/>
        </w:rPr>
        <w:t>2.4</w:t>
      </w:r>
      <w:r w:rsidRPr="00C8275B">
        <w:rPr>
          <w:rFonts w:ascii="Times New Roman" w:hAnsi="Times New Roman" w:cs="Times New Roman"/>
          <w:b/>
          <w:bCs/>
          <w:sz w:val="22"/>
          <w:szCs w:val="22"/>
          <w:lang w:val="es-ES_tradnl" w:eastAsia="es-ES_tradnl"/>
        </w:rPr>
        <w:t xml:space="preserve"> </w:t>
      </w:r>
      <w:r w:rsidR="00E26C57" w:rsidRPr="00C8275B">
        <w:rPr>
          <w:rFonts w:ascii="Times New Roman" w:hAnsi="Times New Roman" w:cs="Times New Roman"/>
          <w:b/>
          <w:bCs/>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Comparación</w:t>
      </w:r>
      <w:proofErr w:type="gramEnd"/>
      <w:r w:rsidRPr="00C8275B">
        <w:rPr>
          <w:rFonts w:ascii="Times New Roman" w:hAnsi="Times New Roman" w:cs="Times New Roman"/>
          <w:b/>
          <w:bCs/>
          <w:spacing w:val="-3"/>
          <w:sz w:val="22"/>
          <w:szCs w:val="22"/>
          <w:lang w:val="es-ES_tradnl" w:eastAsia="es-ES_tradnl"/>
        </w:rPr>
        <w:t xml:space="preserve"> de la información:</w:t>
      </w:r>
    </w:p>
    <w:p w14:paraId="014E1EBC" w14:textId="77777777" w:rsidR="00A70904" w:rsidRPr="00C8275B" w:rsidRDefault="00A70904" w:rsidP="00A70904">
      <w:pPr>
        <w:shd w:val="clear" w:color="auto" w:fill="FFFFFF"/>
        <w:spacing w:before="4"/>
        <w:ind w:left="709"/>
        <w:jc w:val="both"/>
        <w:rPr>
          <w:rFonts w:ascii="Times New Roman" w:hAnsi="Times New Roman" w:cs="Times New Roman"/>
          <w:b/>
          <w:bCs/>
          <w:spacing w:val="-3"/>
          <w:sz w:val="22"/>
          <w:szCs w:val="22"/>
          <w:lang w:val="es-ES_tradnl" w:eastAsia="es-ES_tradnl"/>
        </w:rPr>
      </w:pPr>
    </w:p>
    <w:p w14:paraId="2CFDB79D" w14:textId="77777777" w:rsidR="00FF288A" w:rsidRPr="00C8275B" w:rsidRDefault="00A70904" w:rsidP="00A70904">
      <w:pPr>
        <w:shd w:val="clear" w:color="auto" w:fill="FFFFFF"/>
        <w:spacing w:before="4"/>
        <w:ind w:left="709"/>
        <w:jc w:val="both"/>
        <w:rPr>
          <w:rFonts w:ascii="Times New Roman" w:hAnsi="Times New Roman" w:cs="Times New Roman"/>
          <w:spacing w:val="-1"/>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Las </w:t>
      </w:r>
      <w:r w:rsidR="007D08CD" w:rsidRPr="00C8275B">
        <w:rPr>
          <w:rFonts w:ascii="Times New Roman" w:hAnsi="Times New Roman" w:cs="Times New Roman"/>
          <w:bCs/>
          <w:spacing w:val="-3"/>
          <w:sz w:val="22"/>
          <w:szCs w:val="22"/>
          <w:lang w:val="es-ES_tradnl" w:eastAsia="es-ES_tradnl"/>
        </w:rPr>
        <w:t>cuentas a</w:t>
      </w:r>
      <w:r w:rsidR="007D08CD" w:rsidRPr="00C8275B">
        <w:rPr>
          <w:rFonts w:ascii="Times New Roman" w:hAnsi="Times New Roman" w:cs="Times New Roman"/>
          <w:spacing w:val="-1"/>
          <w:sz w:val="22"/>
          <w:szCs w:val="22"/>
          <w:lang w:val="es-ES_tradnl" w:eastAsia="es-ES_tradnl"/>
        </w:rPr>
        <w:t>nuales adjuntas</w:t>
      </w:r>
      <w:r w:rsidRPr="00C8275B">
        <w:rPr>
          <w:rFonts w:ascii="Times New Roman" w:hAnsi="Times New Roman" w:cs="Times New Roman"/>
          <w:spacing w:val="-1"/>
          <w:sz w:val="22"/>
          <w:szCs w:val="22"/>
          <w:lang w:val="es-ES_tradnl" w:eastAsia="es-ES_tradnl"/>
        </w:rPr>
        <w:t xml:space="preserve"> se han formulado </w:t>
      </w:r>
      <w:r w:rsidR="007D08CD" w:rsidRPr="00C8275B">
        <w:rPr>
          <w:rFonts w:ascii="Times New Roman" w:hAnsi="Times New Roman" w:cs="Times New Roman"/>
          <w:spacing w:val="-1"/>
          <w:sz w:val="22"/>
          <w:szCs w:val="22"/>
          <w:lang w:val="es-ES_tradnl" w:eastAsia="es-ES_tradnl"/>
        </w:rPr>
        <w:t xml:space="preserve">aplicando los principios contables establecidos en el Código de Comercio y el Plan General de Contabilidad aprobado por Real Decreto 1514/2007, de 16 de </w:t>
      </w:r>
      <w:proofErr w:type="gramStart"/>
      <w:r w:rsidR="007D08CD" w:rsidRPr="00C8275B">
        <w:rPr>
          <w:rFonts w:ascii="Times New Roman" w:hAnsi="Times New Roman" w:cs="Times New Roman"/>
          <w:spacing w:val="-1"/>
          <w:sz w:val="22"/>
          <w:szCs w:val="22"/>
          <w:lang w:val="es-ES_tradnl" w:eastAsia="es-ES_tradnl"/>
        </w:rPr>
        <w:t>Noviembre</w:t>
      </w:r>
      <w:proofErr w:type="gramEnd"/>
      <w:r w:rsidR="007D08CD" w:rsidRPr="00C8275B">
        <w:rPr>
          <w:rFonts w:ascii="Times New Roman" w:hAnsi="Times New Roman" w:cs="Times New Roman"/>
          <w:spacing w:val="-1"/>
          <w:sz w:val="22"/>
          <w:szCs w:val="22"/>
          <w:lang w:val="es-ES_tradnl" w:eastAsia="es-ES_tradnl"/>
        </w:rPr>
        <w:t>.</w:t>
      </w:r>
    </w:p>
    <w:p w14:paraId="1C79C70C" w14:textId="77777777" w:rsidR="00A70904" w:rsidRPr="00C8275B" w:rsidRDefault="00A70904" w:rsidP="00A70904">
      <w:pPr>
        <w:shd w:val="clear" w:color="auto" w:fill="FFFFFF"/>
        <w:spacing w:before="4"/>
        <w:ind w:left="709"/>
        <w:jc w:val="both"/>
        <w:rPr>
          <w:rFonts w:ascii="Times New Roman" w:hAnsi="Times New Roman" w:cs="Times New Roman"/>
          <w:spacing w:val="-1"/>
          <w:sz w:val="22"/>
          <w:szCs w:val="22"/>
          <w:lang w:val="es-ES_tradnl" w:eastAsia="es-ES_tradnl"/>
        </w:rPr>
      </w:pPr>
    </w:p>
    <w:p w14:paraId="06D5E181" w14:textId="77777777" w:rsidR="007D08CD" w:rsidRPr="00C8275B" w:rsidRDefault="007D08CD" w:rsidP="00A70904">
      <w:pPr>
        <w:shd w:val="clear" w:color="auto" w:fill="FFFFFF"/>
        <w:spacing w:before="4"/>
        <w:ind w:left="709"/>
        <w:jc w:val="both"/>
        <w:rPr>
          <w:rFonts w:ascii="Times New Roman" w:hAnsi="Times New Roman" w:cs="Times New Roman"/>
          <w:bCs/>
          <w:spacing w:val="-3"/>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De acuerdo con la legislación mercantil el Administrador presenta a efectos comparativos, con cada una de las partidas del balance de situación, de la cuenta de pérdidas y ganancias, del estado de cambios en el patrimonio neto, del estado de flujos de efectivo y de la memoria de las cuentas anuales, además de las cifras del ejercicio </w:t>
      </w:r>
      <w:r w:rsidR="00B7600E" w:rsidRPr="00C8275B">
        <w:rPr>
          <w:rFonts w:ascii="Times New Roman" w:hAnsi="Times New Roman" w:cs="Times New Roman"/>
          <w:bCs/>
          <w:spacing w:val="-3"/>
          <w:sz w:val="22"/>
          <w:szCs w:val="22"/>
          <w:lang w:val="es-ES_tradnl" w:eastAsia="es-ES_tradnl"/>
        </w:rPr>
        <w:t>2</w:t>
      </w:r>
      <w:r w:rsidR="00AD14B0" w:rsidRPr="00C8275B">
        <w:rPr>
          <w:rFonts w:ascii="Times New Roman" w:hAnsi="Times New Roman" w:cs="Times New Roman"/>
          <w:bCs/>
          <w:spacing w:val="-3"/>
          <w:sz w:val="22"/>
          <w:szCs w:val="22"/>
          <w:lang w:val="es-ES_tradnl" w:eastAsia="es-ES_tradnl"/>
        </w:rPr>
        <w:t>022</w:t>
      </w:r>
      <w:r w:rsidRPr="00C8275B">
        <w:rPr>
          <w:rFonts w:ascii="Times New Roman" w:hAnsi="Times New Roman" w:cs="Times New Roman"/>
          <w:bCs/>
          <w:spacing w:val="-3"/>
          <w:sz w:val="22"/>
          <w:szCs w:val="22"/>
          <w:lang w:val="es-ES_tradnl" w:eastAsia="es-ES_tradnl"/>
        </w:rPr>
        <w:t>, las correspondientes al ejercicio anterior</w:t>
      </w:r>
      <w:r w:rsidR="00A70904" w:rsidRPr="00C8275B">
        <w:rPr>
          <w:rFonts w:ascii="Times New Roman" w:hAnsi="Times New Roman" w:cs="Times New Roman"/>
          <w:bCs/>
          <w:spacing w:val="-3"/>
          <w:sz w:val="22"/>
          <w:szCs w:val="22"/>
          <w:lang w:val="es-ES_tradnl" w:eastAsia="es-ES_tradnl"/>
        </w:rPr>
        <w:t>, a los efectos de una mejor presentación y comparabilidad.</w:t>
      </w:r>
    </w:p>
    <w:p w14:paraId="5638CE4B" w14:textId="77777777" w:rsidR="007D08CD" w:rsidRPr="00C8275B"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 xml:space="preserve">2.5 Agrupación de partidas: </w:t>
      </w:r>
    </w:p>
    <w:p w14:paraId="5C4EECD2" w14:textId="77777777" w:rsidR="00A70904" w:rsidRPr="00C8275B" w:rsidRDefault="00A70904" w:rsidP="00A70904">
      <w:pPr>
        <w:shd w:val="clear" w:color="auto" w:fill="FFFFFF"/>
        <w:spacing w:before="4"/>
        <w:ind w:left="709"/>
        <w:jc w:val="both"/>
        <w:rPr>
          <w:rFonts w:ascii="Times New Roman" w:hAnsi="Times New Roman" w:cs="Times New Roman"/>
          <w:bCs/>
          <w:color w:val="0000FF"/>
          <w:spacing w:val="-3"/>
          <w:sz w:val="22"/>
          <w:szCs w:val="22"/>
          <w:lang w:val="es-ES_tradnl" w:eastAsia="es-ES_tradnl"/>
        </w:rPr>
      </w:pPr>
    </w:p>
    <w:p w14:paraId="5AE02714" w14:textId="77777777" w:rsidR="00A70904" w:rsidRPr="00C8275B" w:rsidRDefault="00A70904" w:rsidP="00A70904">
      <w:pPr>
        <w:shd w:val="clear" w:color="auto" w:fill="FFFFFF"/>
        <w:spacing w:before="4"/>
        <w:ind w:left="709"/>
        <w:jc w:val="both"/>
        <w:rPr>
          <w:rFonts w:ascii="Times New Roman" w:hAnsi="Times New Roman" w:cs="Times New Roman"/>
          <w:bCs/>
          <w:spacing w:val="-3"/>
          <w:sz w:val="22"/>
          <w:szCs w:val="22"/>
          <w:lang w:val="es-ES_tradnl" w:eastAsia="es-ES_tradnl"/>
        </w:rPr>
      </w:pPr>
      <w:r w:rsidRPr="00C8275B">
        <w:rPr>
          <w:rFonts w:ascii="Times New Roman" w:hAnsi="Times New Roman" w:cs="Times New Roman"/>
          <w:bCs/>
          <w:spacing w:val="-3"/>
          <w:sz w:val="22"/>
          <w:szCs w:val="22"/>
          <w:lang w:val="es-ES_tradnl" w:eastAsia="es-ES_tradnl"/>
        </w:rPr>
        <w:t>Las cuentas anuales no tienen ninguna partida que haya sido objeto de agrupación en el balance, en la cuenta de pérdidas y ganancias, en el estado de cambios en el patrimonio neto o en el estado de flujos de efectivo. En su caso, se informa del desglose de las partidas que han sido objeto de agrupación en el balance, en la cuenta de pérdidas y ganancias, en el estado de cambios en el patrimonio neto o en el estado de flujos de efectivo, entendiéndose que no es necesario presentar la información anterior si dicha desagregación figura en otros apartados de la memoria.</w:t>
      </w:r>
    </w:p>
    <w:p w14:paraId="64480E98" w14:textId="77777777" w:rsidR="00A70904" w:rsidRDefault="00A70904" w:rsidP="00A70904">
      <w:pPr>
        <w:shd w:val="clear" w:color="auto" w:fill="FFFFFF"/>
        <w:spacing w:before="4"/>
        <w:ind w:left="709"/>
        <w:jc w:val="both"/>
        <w:rPr>
          <w:rFonts w:ascii="Times New Roman" w:hAnsi="Times New Roman" w:cs="Times New Roman"/>
          <w:bCs/>
          <w:color w:val="0000FF"/>
          <w:spacing w:val="-3"/>
          <w:sz w:val="22"/>
          <w:szCs w:val="22"/>
          <w:lang w:val="es-ES_tradnl" w:eastAsia="es-ES_tradnl"/>
        </w:rPr>
      </w:pPr>
    </w:p>
    <w:p w14:paraId="2C0352F1" w14:textId="77777777" w:rsidR="003416FB" w:rsidRPr="00C8275B" w:rsidRDefault="003416FB" w:rsidP="00A70904">
      <w:pPr>
        <w:shd w:val="clear" w:color="auto" w:fill="FFFFFF"/>
        <w:spacing w:before="4"/>
        <w:ind w:left="709"/>
        <w:jc w:val="both"/>
        <w:rPr>
          <w:rFonts w:ascii="Times New Roman" w:hAnsi="Times New Roman" w:cs="Times New Roman"/>
          <w:bCs/>
          <w:color w:val="0000FF"/>
          <w:spacing w:val="-3"/>
          <w:sz w:val="22"/>
          <w:szCs w:val="22"/>
          <w:lang w:val="es-ES_tradnl" w:eastAsia="es-ES_tradnl"/>
        </w:rPr>
      </w:pPr>
    </w:p>
    <w:p w14:paraId="3B64BF60" w14:textId="77777777" w:rsidR="006C0067" w:rsidRPr="00C8275B" w:rsidRDefault="007D08CD" w:rsidP="00A70904">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proofErr w:type="gramStart"/>
      <w:r w:rsidRPr="00C8275B">
        <w:rPr>
          <w:rFonts w:ascii="Times New Roman" w:hAnsi="Times New Roman" w:cs="Times New Roman"/>
          <w:b/>
          <w:bCs/>
          <w:spacing w:val="-4"/>
          <w:sz w:val="22"/>
          <w:szCs w:val="22"/>
          <w:lang w:val="es-ES_tradnl" w:eastAsia="es-ES_tradnl"/>
        </w:rPr>
        <w:t>2.6</w:t>
      </w:r>
      <w:r w:rsidR="006C0067" w:rsidRPr="00C8275B">
        <w:rPr>
          <w:rFonts w:ascii="Times New Roman" w:hAnsi="Times New Roman" w:cs="Times New Roman"/>
          <w:b/>
          <w:bCs/>
          <w:spacing w:val="-4"/>
          <w:sz w:val="22"/>
          <w:szCs w:val="22"/>
          <w:lang w:val="es-ES_tradnl" w:eastAsia="es-ES_tradnl"/>
        </w:rPr>
        <w:t xml:space="preserve"> </w:t>
      </w:r>
      <w:r w:rsidR="00E26C57" w:rsidRPr="00C8275B">
        <w:rPr>
          <w:rFonts w:ascii="Times New Roman" w:hAnsi="Times New Roman" w:cs="Times New Roman"/>
          <w:b/>
          <w:bCs/>
          <w:spacing w:val="-4"/>
          <w:sz w:val="22"/>
          <w:szCs w:val="22"/>
          <w:lang w:val="es-ES_tradnl" w:eastAsia="es-ES_tradnl"/>
        </w:rPr>
        <w:t xml:space="preserve"> </w:t>
      </w:r>
      <w:r w:rsidR="006C0067" w:rsidRPr="00C8275B">
        <w:rPr>
          <w:rFonts w:ascii="Times New Roman" w:hAnsi="Times New Roman" w:cs="Times New Roman"/>
          <w:b/>
          <w:bCs/>
          <w:spacing w:val="-4"/>
          <w:sz w:val="22"/>
          <w:szCs w:val="22"/>
          <w:lang w:val="es-ES_tradnl" w:eastAsia="es-ES_tradnl"/>
        </w:rPr>
        <w:t>Elementos</w:t>
      </w:r>
      <w:proofErr w:type="gramEnd"/>
      <w:r w:rsidR="006C0067" w:rsidRPr="00C8275B">
        <w:rPr>
          <w:rFonts w:ascii="Times New Roman" w:hAnsi="Times New Roman" w:cs="Times New Roman"/>
          <w:b/>
          <w:bCs/>
          <w:spacing w:val="-4"/>
          <w:sz w:val="22"/>
          <w:szCs w:val="22"/>
          <w:lang w:val="es-ES_tradnl" w:eastAsia="es-ES_tradnl"/>
        </w:rPr>
        <w:t xml:space="preserve"> recogidos en varias partidas:</w:t>
      </w:r>
    </w:p>
    <w:p w14:paraId="230E9DC5" w14:textId="77777777" w:rsidR="006C0067" w:rsidRPr="00C8275B" w:rsidRDefault="006C0067" w:rsidP="00056B5A">
      <w:pPr>
        <w:shd w:val="clear" w:color="auto" w:fill="FFFFFF"/>
        <w:spacing w:before="202"/>
        <w:ind w:firstLine="708"/>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t>No existen elementos patrimoniales que estén registrados en dos o más partidas del balance.</w:t>
      </w:r>
    </w:p>
    <w:p w14:paraId="02C74485" w14:textId="77777777" w:rsidR="006C0067" w:rsidRPr="00C8275B"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proofErr w:type="gramStart"/>
      <w:r w:rsidRPr="00C8275B">
        <w:rPr>
          <w:rFonts w:ascii="Times New Roman" w:hAnsi="Times New Roman" w:cs="Times New Roman"/>
          <w:b/>
          <w:bCs/>
          <w:spacing w:val="-4"/>
          <w:sz w:val="22"/>
          <w:szCs w:val="22"/>
          <w:lang w:val="es-ES_tradnl" w:eastAsia="es-ES_tradnl"/>
        </w:rPr>
        <w:t>2.</w:t>
      </w:r>
      <w:r w:rsidR="007D08CD" w:rsidRPr="00C8275B">
        <w:rPr>
          <w:rFonts w:ascii="Times New Roman" w:hAnsi="Times New Roman" w:cs="Times New Roman"/>
          <w:b/>
          <w:bCs/>
          <w:spacing w:val="-4"/>
          <w:sz w:val="22"/>
          <w:szCs w:val="22"/>
          <w:lang w:val="es-ES_tradnl" w:eastAsia="es-ES_tradnl"/>
        </w:rPr>
        <w:t>7</w:t>
      </w:r>
      <w:r w:rsidRPr="00C8275B">
        <w:rPr>
          <w:rFonts w:ascii="Times New Roman" w:hAnsi="Times New Roman" w:cs="Times New Roman"/>
          <w:b/>
          <w:bCs/>
          <w:spacing w:val="-4"/>
          <w:sz w:val="22"/>
          <w:szCs w:val="22"/>
          <w:lang w:val="es-ES_tradnl" w:eastAsia="es-ES_tradnl"/>
        </w:rPr>
        <w:t xml:space="preserve"> </w:t>
      </w:r>
      <w:r w:rsidR="00056B5A" w:rsidRPr="00C8275B">
        <w:rPr>
          <w:rFonts w:ascii="Times New Roman" w:hAnsi="Times New Roman" w:cs="Times New Roman"/>
          <w:b/>
          <w:bCs/>
          <w:spacing w:val="-4"/>
          <w:sz w:val="22"/>
          <w:szCs w:val="22"/>
          <w:lang w:val="es-ES_tradnl" w:eastAsia="es-ES_tradnl"/>
        </w:rPr>
        <w:t xml:space="preserve"> </w:t>
      </w:r>
      <w:r w:rsidRPr="00C8275B">
        <w:rPr>
          <w:rFonts w:ascii="Times New Roman" w:hAnsi="Times New Roman" w:cs="Times New Roman"/>
          <w:b/>
          <w:bCs/>
          <w:spacing w:val="-4"/>
          <w:sz w:val="22"/>
          <w:szCs w:val="22"/>
          <w:lang w:val="es-ES_tradnl" w:eastAsia="es-ES_tradnl"/>
        </w:rPr>
        <w:t>Cambios</w:t>
      </w:r>
      <w:proofErr w:type="gramEnd"/>
      <w:r w:rsidRPr="00C8275B">
        <w:rPr>
          <w:rFonts w:ascii="Times New Roman" w:hAnsi="Times New Roman" w:cs="Times New Roman"/>
          <w:b/>
          <w:bCs/>
          <w:spacing w:val="-4"/>
          <w:sz w:val="22"/>
          <w:szCs w:val="22"/>
          <w:lang w:val="es-ES_tradnl" w:eastAsia="es-ES_tradnl"/>
        </w:rPr>
        <w:t xml:space="preserve"> en criterios contables:</w:t>
      </w:r>
    </w:p>
    <w:p w14:paraId="319C4D67" w14:textId="77777777" w:rsidR="004862F5" w:rsidRPr="00C8275B" w:rsidRDefault="006C0067" w:rsidP="004862F5">
      <w:pPr>
        <w:shd w:val="clear" w:color="auto" w:fill="FFFFFF"/>
        <w:spacing w:before="212"/>
        <w:ind w:right="40" w:firstLine="708"/>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lastRenderedPageBreak/>
        <w:t xml:space="preserve">No se han producido cambios en los criterios contables aplicados durante el </w:t>
      </w:r>
      <w:r w:rsidRPr="00C8275B">
        <w:rPr>
          <w:rFonts w:ascii="Times New Roman" w:hAnsi="Times New Roman" w:cs="Times New Roman"/>
          <w:sz w:val="22"/>
          <w:szCs w:val="22"/>
          <w:lang w:val="es-ES_tradnl" w:eastAsia="es-ES_tradnl"/>
        </w:rPr>
        <w:t>ejercicio.</w:t>
      </w:r>
    </w:p>
    <w:p w14:paraId="54522CE7" w14:textId="77777777" w:rsidR="00A42125" w:rsidRPr="00C8275B" w:rsidRDefault="006C0067"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proofErr w:type="gramStart"/>
      <w:r w:rsidRPr="00C8275B">
        <w:rPr>
          <w:rFonts w:ascii="Times New Roman" w:hAnsi="Times New Roman" w:cs="Times New Roman"/>
          <w:b/>
          <w:bCs/>
          <w:spacing w:val="-4"/>
          <w:sz w:val="22"/>
          <w:szCs w:val="22"/>
          <w:lang w:val="es-ES_tradnl" w:eastAsia="es-ES_tradnl"/>
        </w:rPr>
        <w:t>2.</w:t>
      </w:r>
      <w:r w:rsidR="007D08CD" w:rsidRPr="00C8275B">
        <w:rPr>
          <w:rFonts w:ascii="Times New Roman" w:hAnsi="Times New Roman" w:cs="Times New Roman"/>
          <w:b/>
          <w:bCs/>
          <w:spacing w:val="-4"/>
          <w:sz w:val="22"/>
          <w:szCs w:val="22"/>
          <w:lang w:val="es-ES_tradnl" w:eastAsia="es-ES_tradnl"/>
        </w:rPr>
        <w:t>8</w:t>
      </w:r>
      <w:r w:rsidR="00056B5A" w:rsidRPr="00C8275B">
        <w:rPr>
          <w:rFonts w:ascii="Times New Roman" w:hAnsi="Times New Roman" w:cs="Times New Roman"/>
          <w:b/>
          <w:bCs/>
          <w:spacing w:val="-4"/>
          <w:sz w:val="22"/>
          <w:szCs w:val="22"/>
          <w:lang w:val="es-ES_tradnl" w:eastAsia="es-ES_tradnl"/>
        </w:rPr>
        <w:t xml:space="preserve">  </w:t>
      </w:r>
      <w:r w:rsidRPr="00C8275B">
        <w:rPr>
          <w:rFonts w:ascii="Times New Roman" w:hAnsi="Times New Roman" w:cs="Times New Roman"/>
          <w:b/>
          <w:bCs/>
          <w:spacing w:val="-4"/>
          <w:sz w:val="22"/>
          <w:szCs w:val="22"/>
          <w:lang w:val="es-ES_tradnl" w:eastAsia="es-ES_tradnl"/>
        </w:rPr>
        <w:t>Corrección</w:t>
      </w:r>
      <w:proofErr w:type="gramEnd"/>
      <w:r w:rsidRPr="00C8275B">
        <w:rPr>
          <w:rFonts w:ascii="Times New Roman" w:hAnsi="Times New Roman" w:cs="Times New Roman"/>
          <w:b/>
          <w:bCs/>
          <w:spacing w:val="-4"/>
          <w:sz w:val="22"/>
          <w:szCs w:val="22"/>
          <w:lang w:val="es-ES_tradnl" w:eastAsia="es-ES_tradnl"/>
        </w:rPr>
        <w:t xml:space="preserve"> de errores:</w:t>
      </w:r>
    </w:p>
    <w:p w14:paraId="6F918B82" w14:textId="3163C342" w:rsidR="0085445B" w:rsidRPr="00C8275B" w:rsidRDefault="0085445B" w:rsidP="0085445B">
      <w:pPr>
        <w:shd w:val="clear" w:color="auto" w:fill="FFFFFF"/>
        <w:spacing w:before="216"/>
        <w:ind w:left="720" w:right="43"/>
        <w:jc w:val="both"/>
        <w:rPr>
          <w:rFonts w:ascii="Times New Roman" w:hAnsi="Times New Roman" w:cs="Times New Roman"/>
          <w:color w:val="0000FF"/>
          <w:spacing w:val="-1"/>
          <w:sz w:val="22"/>
          <w:szCs w:val="22"/>
          <w:lang w:val="es-ES_tradnl" w:eastAsia="es-ES_tradnl"/>
        </w:rPr>
      </w:pPr>
      <w:r w:rsidRPr="00C8275B">
        <w:rPr>
          <w:rFonts w:ascii="Times New Roman" w:hAnsi="Times New Roman" w:cs="Times New Roman"/>
          <w:spacing w:val="-1"/>
          <w:sz w:val="22"/>
          <w:szCs w:val="22"/>
          <w:lang w:val="es-ES_tradnl" w:eastAsia="es-ES_tradnl"/>
        </w:rPr>
        <w:t>En el presente ejercicio, a tenor de las sentencias judiciales estimatorias definitivas del litigio de índole fiscal con el Gobierno de Canarias, en reclamación de la deducibilidad del IGIC soportado de ejercicios anteriores, se ha procedido a regularizar contra Reservas Voluntarias aquellas cuantías no recuperables por prescripción fiscal de las mismas a tenor de lo resuelto en dichas sentencias</w:t>
      </w:r>
      <w:r w:rsidR="00BF65AE">
        <w:rPr>
          <w:rFonts w:ascii="Times New Roman" w:hAnsi="Times New Roman" w:cs="Times New Roman"/>
          <w:spacing w:val="-1"/>
          <w:sz w:val="22"/>
          <w:szCs w:val="22"/>
          <w:lang w:val="es-ES_tradnl" w:eastAsia="es-ES_tradnl"/>
        </w:rPr>
        <w:t>.</w:t>
      </w:r>
    </w:p>
    <w:p w14:paraId="3DA1E227" w14:textId="77777777" w:rsidR="00BE7B1C" w:rsidRPr="00C8275B" w:rsidRDefault="00BE7B1C" w:rsidP="00A42125">
      <w:pPr>
        <w:shd w:val="clear" w:color="auto" w:fill="FFFFFF"/>
        <w:ind w:left="709"/>
        <w:jc w:val="both"/>
        <w:rPr>
          <w:rFonts w:ascii="Times New Roman" w:hAnsi="Times New Roman" w:cs="Times New Roman"/>
          <w:color w:val="0000FF"/>
          <w:spacing w:val="-4"/>
          <w:sz w:val="6"/>
          <w:szCs w:val="6"/>
          <w:lang w:val="es-ES_tradnl" w:eastAsia="es-ES_tradnl"/>
        </w:rPr>
      </w:pPr>
    </w:p>
    <w:p w14:paraId="066DC99D" w14:textId="77777777" w:rsidR="007D08CD" w:rsidRPr="00C8275B" w:rsidRDefault="007D08CD" w:rsidP="007D08CD">
      <w:pPr>
        <w:shd w:val="clear" w:color="auto" w:fill="FFFFFF"/>
        <w:tabs>
          <w:tab w:val="left" w:pos="1134"/>
        </w:tabs>
        <w:spacing w:before="238"/>
        <w:ind w:firstLine="708"/>
        <w:jc w:val="both"/>
        <w:rPr>
          <w:rFonts w:ascii="Times New Roman" w:hAnsi="Times New Roman" w:cs="Times New Roman"/>
          <w:b/>
          <w:bCs/>
          <w:spacing w:val="-4"/>
          <w:sz w:val="22"/>
          <w:szCs w:val="22"/>
          <w:lang w:val="es-ES_tradnl" w:eastAsia="es-ES_tradnl"/>
        </w:rPr>
      </w:pPr>
      <w:r w:rsidRPr="00C8275B">
        <w:rPr>
          <w:rFonts w:ascii="Times New Roman" w:hAnsi="Times New Roman" w:cs="Times New Roman"/>
          <w:b/>
          <w:bCs/>
          <w:spacing w:val="-4"/>
          <w:sz w:val="22"/>
          <w:szCs w:val="22"/>
          <w:lang w:val="es-ES_tradnl" w:eastAsia="es-ES_tradnl"/>
        </w:rPr>
        <w:t>2.9. Importancia relativa:</w:t>
      </w:r>
    </w:p>
    <w:p w14:paraId="3CDC3E8A" w14:textId="77777777" w:rsidR="007D08CD" w:rsidRPr="00C8275B" w:rsidRDefault="007D08CD" w:rsidP="007D08CD">
      <w:pPr>
        <w:pStyle w:val="Default"/>
        <w:spacing w:line="276" w:lineRule="auto"/>
        <w:rPr>
          <w:rFonts w:ascii="Times New Roman" w:hAnsi="Times New Roman" w:cs="Times New Roman"/>
          <w:color w:val="auto"/>
          <w:spacing w:val="1"/>
          <w:sz w:val="20"/>
          <w:szCs w:val="20"/>
        </w:rPr>
      </w:pPr>
    </w:p>
    <w:p w14:paraId="6857F7F1" w14:textId="77777777" w:rsidR="009344BE" w:rsidRPr="00BF65AE" w:rsidRDefault="007D08CD" w:rsidP="00B94CCA">
      <w:pPr>
        <w:shd w:val="clear" w:color="auto" w:fill="FFFFFF"/>
        <w:ind w:left="709"/>
        <w:jc w:val="both"/>
        <w:rPr>
          <w:rFonts w:ascii="Times New Roman" w:hAnsi="Times New Roman" w:cs="Times New Roman"/>
          <w:spacing w:val="-1"/>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Al determinar la información a desglosar en la presente memoria sobre las diferentes partidas de los estados financieros u otros asuntos, la Sociedad, de </w:t>
      </w:r>
      <w:r w:rsidRPr="00BF65AE">
        <w:rPr>
          <w:rFonts w:ascii="Times New Roman" w:hAnsi="Times New Roman" w:cs="Times New Roman"/>
          <w:spacing w:val="-1"/>
          <w:sz w:val="22"/>
          <w:szCs w:val="22"/>
          <w:lang w:val="es-ES_tradnl" w:eastAsia="es-ES_tradnl"/>
        </w:rPr>
        <w:t xml:space="preserve">acuerdo con el Marco Conceptual del Plan General de Contabilidad, ha tenido en cuenta la importancia relativa en relación con las cuentas anuales del ejercicio </w:t>
      </w:r>
      <w:r w:rsidR="00A31DE5" w:rsidRPr="00BF65AE">
        <w:rPr>
          <w:rFonts w:ascii="Times New Roman" w:hAnsi="Times New Roman" w:cs="Times New Roman"/>
          <w:spacing w:val="-1"/>
          <w:sz w:val="22"/>
          <w:szCs w:val="22"/>
          <w:lang w:val="es-ES_tradnl" w:eastAsia="es-ES_tradnl"/>
        </w:rPr>
        <w:t>2022.</w:t>
      </w:r>
    </w:p>
    <w:p w14:paraId="11CFC127" w14:textId="77777777" w:rsidR="00FB3062" w:rsidRPr="00C8275B" w:rsidRDefault="00FB3062" w:rsidP="00B94CCA">
      <w:pPr>
        <w:shd w:val="clear" w:color="auto" w:fill="FFFFFF"/>
        <w:ind w:left="709"/>
        <w:jc w:val="both"/>
        <w:rPr>
          <w:rFonts w:ascii="Times New Roman" w:hAnsi="Times New Roman" w:cs="Times New Roman"/>
          <w:b/>
          <w:bCs/>
          <w:color w:val="0000FF"/>
          <w:spacing w:val="-5"/>
          <w:sz w:val="22"/>
          <w:szCs w:val="22"/>
          <w:lang w:val="es-ES_tradnl" w:eastAsia="es-ES_tradnl"/>
        </w:rPr>
      </w:pPr>
    </w:p>
    <w:p w14:paraId="6A31BE85" w14:textId="77777777" w:rsidR="00B7600E" w:rsidRPr="00C8275B" w:rsidRDefault="00B7600E" w:rsidP="00B7600E">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C8275B">
        <w:rPr>
          <w:rFonts w:ascii="Times New Roman" w:hAnsi="Times New Roman" w:cs="Times New Roman"/>
          <w:b/>
          <w:bCs/>
          <w:spacing w:val="-5"/>
          <w:sz w:val="22"/>
          <w:szCs w:val="22"/>
          <w:lang w:val="es-ES_tradnl" w:eastAsia="es-ES_tradnl"/>
        </w:rPr>
        <w:t xml:space="preserve">3. </w:t>
      </w:r>
      <w:r w:rsidRPr="00C8275B">
        <w:rPr>
          <w:rFonts w:ascii="Times New Roman" w:hAnsi="Times New Roman" w:cs="Times New Roman"/>
          <w:b/>
          <w:bCs/>
          <w:spacing w:val="-5"/>
          <w:sz w:val="22"/>
          <w:szCs w:val="22"/>
          <w:u w:val="double"/>
          <w:lang w:val="es-ES_tradnl" w:eastAsia="es-ES_tradnl"/>
        </w:rPr>
        <w:t>APLICACIÓN DEL RESULTADO</w:t>
      </w:r>
    </w:p>
    <w:p w14:paraId="1166EDDA" w14:textId="77777777" w:rsidR="00B7600E" w:rsidRPr="00C8275B" w:rsidRDefault="00B7600E" w:rsidP="00B7600E">
      <w:pPr>
        <w:shd w:val="clear" w:color="auto" w:fill="FFFFFF"/>
        <w:ind w:left="709"/>
        <w:jc w:val="both"/>
        <w:rPr>
          <w:rFonts w:ascii="Times New Roman" w:hAnsi="Times New Roman" w:cs="Times New Roman"/>
          <w:spacing w:val="-4"/>
          <w:sz w:val="22"/>
          <w:szCs w:val="22"/>
          <w:lang w:val="es-ES_tradnl" w:eastAsia="es-ES_tradnl"/>
        </w:rPr>
      </w:pPr>
    </w:p>
    <w:p w14:paraId="34BF8F80" w14:textId="77777777" w:rsidR="00B7600E" w:rsidRPr="00C8275B" w:rsidRDefault="00B7600E" w:rsidP="00B7600E">
      <w:pPr>
        <w:shd w:val="clear" w:color="auto" w:fill="FFFFFF"/>
        <w:ind w:left="709"/>
        <w:jc w:val="both"/>
        <w:rPr>
          <w:rFonts w:ascii="Times New Roman" w:hAnsi="Times New Roman" w:cs="Times New Roman"/>
          <w:spacing w:val="-4"/>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La propuesta de aplicación de resultados del ejercicio </w:t>
      </w:r>
      <w:r w:rsidR="003301B5" w:rsidRPr="00C8275B">
        <w:rPr>
          <w:rFonts w:ascii="Times New Roman" w:hAnsi="Times New Roman" w:cs="Times New Roman"/>
          <w:spacing w:val="-4"/>
          <w:sz w:val="22"/>
          <w:szCs w:val="22"/>
          <w:lang w:val="es-ES_tradnl" w:eastAsia="es-ES_tradnl"/>
        </w:rPr>
        <w:t>2022</w:t>
      </w:r>
      <w:r w:rsidRPr="00C8275B">
        <w:rPr>
          <w:rFonts w:ascii="Times New Roman" w:hAnsi="Times New Roman" w:cs="Times New Roman"/>
          <w:spacing w:val="-4"/>
          <w:sz w:val="22"/>
          <w:szCs w:val="22"/>
          <w:lang w:val="es-ES_tradnl" w:eastAsia="es-ES_tradnl"/>
        </w:rPr>
        <w:t xml:space="preserve"> a someter por el Consejo de Administración para su aprobación por la Junta General es la siguiente:</w:t>
      </w:r>
    </w:p>
    <w:p w14:paraId="33F0EA08" w14:textId="77777777" w:rsidR="00B7600E" w:rsidRPr="00C8275B" w:rsidRDefault="00B7600E" w:rsidP="00B7600E">
      <w:pPr>
        <w:pStyle w:val="Default"/>
        <w:rPr>
          <w:rFonts w:ascii="Times New Roman" w:hAnsi="Times New Roman" w:cs="Times New Roman"/>
          <w:color w:val="0000FF"/>
          <w:lang w:val="es-ES_tradnl" w:eastAsia="es-ES_tradnl"/>
        </w:rPr>
      </w:pPr>
    </w:p>
    <w:tbl>
      <w:tblPr>
        <w:tblW w:w="482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60"/>
        <w:gridCol w:w="1360"/>
      </w:tblGrid>
      <w:tr w:rsidR="00BF65AE" w:rsidRPr="00BF65AE" w14:paraId="406F2B7D" w14:textId="77777777" w:rsidTr="00723E9B">
        <w:trPr>
          <w:trHeight w:val="315"/>
          <w:jc w:val="center"/>
        </w:trPr>
        <w:tc>
          <w:tcPr>
            <w:tcW w:w="3460" w:type="dxa"/>
            <w:tcBorders>
              <w:top w:val="single" w:sz="4" w:space="0" w:color="auto"/>
              <w:bottom w:val="single" w:sz="4" w:space="0" w:color="auto"/>
            </w:tcBorders>
            <w:shd w:val="clear" w:color="auto" w:fill="FFFFFF" w:themeFill="background1"/>
            <w:vAlign w:val="center"/>
            <w:hideMark/>
          </w:tcPr>
          <w:p w14:paraId="3C4F0827" w14:textId="77777777" w:rsidR="00F9754D" w:rsidRPr="00BF65AE" w:rsidRDefault="00F9754D" w:rsidP="00B7600E">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 </w:t>
            </w:r>
          </w:p>
        </w:tc>
        <w:tc>
          <w:tcPr>
            <w:tcW w:w="1360" w:type="dxa"/>
            <w:tcBorders>
              <w:top w:val="single" w:sz="4" w:space="0" w:color="auto"/>
              <w:bottom w:val="single" w:sz="4" w:space="0" w:color="auto"/>
            </w:tcBorders>
            <w:shd w:val="clear" w:color="auto" w:fill="FFFFFF" w:themeFill="background1"/>
            <w:vAlign w:val="center"/>
            <w:hideMark/>
          </w:tcPr>
          <w:p w14:paraId="3EF89271" w14:textId="0AA634DA" w:rsidR="00F9754D" w:rsidRPr="00BF65AE" w:rsidRDefault="00F9754D" w:rsidP="003301B5">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A</w:t>
            </w:r>
            <w:r w:rsidR="009441FC" w:rsidRPr="00BF65AE">
              <w:rPr>
                <w:rFonts w:ascii="Times New Roman" w:hAnsi="Times New Roman" w:cs="Times New Roman"/>
                <w:b/>
                <w:bCs/>
                <w:sz w:val="18"/>
                <w:szCs w:val="18"/>
              </w:rPr>
              <w:t>ño</w:t>
            </w:r>
            <w:r w:rsidRPr="00BF65AE">
              <w:rPr>
                <w:rFonts w:ascii="Times New Roman" w:hAnsi="Times New Roman" w:cs="Times New Roman"/>
                <w:b/>
                <w:bCs/>
                <w:sz w:val="18"/>
                <w:szCs w:val="18"/>
              </w:rPr>
              <w:t xml:space="preserve"> 2022</w:t>
            </w:r>
          </w:p>
        </w:tc>
      </w:tr>
      <w:tr w:rsidR="00BF65AE" w:rsidRPr="00BF65AE" w14:paraId="5B15E2D7" w14:textId="77777777" w:rsidTr="00723E9B">
        <w:trPr>
          <w:trHeight w:hRule="exact" w:val="300"/>
          <w:jc w:val="center"/>
        </w:trPr>
        <w:tc>
          <w:tcPr>
            <w:tcW w:w="3460" w:type="dxa"/>
            <w:tcBorders>
              <w:top w:val="single" w:sz="4" w:space="0" w:color="auto"/>
            </w:tcBorders>
            <w:shd w:val="clear" w:color="auto" w:fill="auto"/>
            <w:vAlign w:val="center"/>
            <w:hideMark/>
          </w:tcPr>
          <w:p w14:paraId="03E4292A" w14:textId="77777777" w:rsidR="00F9754D" w:rsidRPr="00BF65AE" w:rsidRDefault="00F9754D" w:rsidP="00B7600E">
            <w:pPr>
              <w:widowControl/>
              <w:autoSpaceDE/>
              <w:autoSpaceDN/>
              <w:adjustRightInd/>
              <w:rPr>
                <w:rFonts w:ascii="Times New Roman" w:hAnsi="Times New Roman" w:cs="Times New Roman"/>
                <w:b/>
                <w:bCs/>
                <w:sz w:val="18"/>
                <w:szCs w:val="18"/>
                <w:u w:val="single"/>
              </w:rPr>
            </w:pPr>
            <w:r w:rsidRPr="00BF65AE">
              <w:rPr>
                <w:rFonts w:ascii="Times New Roman" w:hAnsi="Times New Roman" w:cs="Times New Roman"/>
                <w:b/>
                <w:bCs/>
                <w:sz w:val="18"/>
                <w:szCs w:val="18"/>
                <w:u w:val="single"/>
              </w:rPr>
              <w:t>Base de reparto</w:t>
            </w:r>
          </w:p>
        </w:tc>
        <w:tc>
          <w:tcPr>
            <w:tcW w:w="1360" w:type="dxa"/>
            <w:tcBorders>
              <w:top w:val="single" w:sz="4" w:space="0" w:color="auto"/>
            </w:tcBorders>
            <w:shd w:val="clear" w:color="auto" w:fill="auto"/>
            <w:vAlign w:val="center"/>
            <w:hideMark/>
          </w:tcPr>
          <w:p w14:paraId="630BE00F" w14:textId="77777777" w:rsidR="00F9754D" w:rsidRPr="00BF65AE" w:rsidRDefault="00F9754D" w:rsidP="00B7600E">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 </w:t>
            </w:r>
          </w:p>
        </w:tc>
      </w:tr>
      <w:tr w:rsidR="00BF65AE" w:rsidRPr="00BF65AE" w14:paraId="12BDFDDB" w14:textId="77777777" w:rsidTr="00723E9B">
        <w:trPr>
          <w:trHeight w:val="300"/>
          <w:jc w:val="center"/>
        </w:trPr>
        <w:tc>
          <w:tcPr>
            <w:tcW w:w="3460" w:type="dxa"/>
            <w:tcBorders>
              <w:bottom w:val="single" w:sz="4" w:space="0" w:color="auto"/>
            </w:tcBorders>
            <w:shd w:val="clear" w:color="auto" w:fill="auto"/>
            <w:vAlign w:val="center"/>
            <w:hideMark/>
          </w:tcPr>
          <w:p w14:paraId="71AC3455" w14:textId="77777777" w:rsidR="00F9754D" w:rsidRPr="00BF65AE" w:rsidRDefault="00F9754D" w:rsidP="00B7600E">
            <w:pPr>
              <w:widowControl/>
              <w:autoSpaceDE/>
              <w:autoSpaceDN/>
              <w:adjustRightInd/>
              <w:rPr>
                <w:rFonts w:ascii="Times New Roman" w:hAnsi="Times New Roman" w:cs="Times New Roman"/>
                <w:sz w:val="18"/>
                <w:szCs w:val="18"/>
              </w:rPr>
            </w:pPr>
            <w:r w:rsidRPr="00BF65AE">
              <w:rPr>
                <w:rFonts w:ascii="Times New Roman" w:hAnsi="Times New Roman" w:cs="Times New Roman"/>
                <w:sz w:val="18"/>
                <w:szCs w:val="18"/>
              </w:rPr>
              <w:t>Pérdidas y ganancias (netos de Impuestos)</w:t>
            </w:r>
          </w:p>
        </w:tc>
        <w:tc>
          <w:tcPr>
            <w:tcW w:w="1360" w:type="dxa"/>
            <w:tcBorders>
              <w:bottom w:val="single" w:sz="4" w:space="0" w:color="auto"/>
            </w:tcBorders>
            <w:shd w:val="clear" w:color="auto" w:fill="auto"/>
            <w:vAlign w:val="center"/>
            <w:hideMark/>
          </w:tcPr>
          <w:p w14:paraId="7660A619" w14:textId="580B28FB" w:rsidR="00F9754D" w:rsidRPr="00BF65AE" w:rsidRDefault="00BF65AE" w:rsidP="0085445B">
            <w:pPr>
              <w:widowControl/>
              <w:autoSpaceDE/>
              <w:autoSpaceDN/>
              <w:adjustRightInd/>
              <w:jc w:val="center"/>
              <w:rPr>
                <w:rFonts w:ascii="Times New Roman" w:hAnsi="Times New Roman" w:cs="Times New Roman"/>
                <w:sz w:val="18"/>
                <w:szCs w:val="18"/>
              </w:rPr>
            </w:pPr>
            <w:r w:rsidRPr="00BF65AE">
              <w:rPr>
                <w:rFonts w:ascii="Times New Roman" w:hAnsi="Times New Roman" w:cs="Times New Roman"/>
                <w:sz w:val="18"/>
                <w:szCs w:val="18"/>
              </w:rPr>
              <w:t>1.612.098,92</w:t>
            </w:r>
          </w:p>
        </w:tc>
      </w:tr>
      <w:tr w:rsidR="00BF65AE" w:rsidRPr="00BF65AE" w14:paraId="7B34CB1A" w14:textId="77777777" w:rsidTr="00723E9B">
        <w:trPr>
          <w:trHeight w:hRule="exact" w:val="300"/>
          <w:jc w:val="center"/>
        </w:trPr>
        <w:tc>
          <w:tcPr>
            <w:tcW w:w="3460" w:type="dxa"/>
            <w:tcBorders>
              <w:top w:val="single" w:sz="4" w:space="0" w:color="auto"/>
              <w:bottom w:val="single" w:sz="4" w:space="0" w:color="auto"/>
            </w:tcBorders>
            <w:shd w:val="clear" w:color="auto" w:fill="auto"/>
            <w:vAlign w:val="center"/>
            <w:hideMark/>
          </w:tcPr>
          <w:p w14:paraId="1DC07A53" w14:textId="77777777" w:rsidR="00F9754D" w:rsidRPr="00BF65AE" w:rsidRDefault="00F9754D" w:rsidP="00B7600E">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Total</w:t>
            </w:r>
          </w:p>
        </w:tc>
        <w:tc>
          <w:tcPr>
            <w:tcW w:w="1360" w:type="dxa"/>
            <w:tcBorders>
              <w:top w:val="single" w:sz="4" w:space="0" w:color="auto"/>
              <w:bottom w:val="single" w:sz="4" w:space="0" w:color="auto"/>
            </w:tcBorders>
            <w:shd w:val="clear" w:color="auto" w:fill="auto"/>
            <w:vAlign w:val="center"/>
            <w:hideMark/>
          </w:tcPr>
          <w:p w14:paraId="7C218BBB" w14:textId="34D98745" w:rsidR="00F9754D" w:rsidRPr="00BF65AE" w:rsidRDefault="00BF65AE" w:rsidP="0085445B">
            <w:pPr>
              <w:widowControl/>
              <w:autoSpaceDE/>
              <w:autoSpaceDN/>
              <w:adjustRightInd/>
              <w:jc w:val="center"/>
              <w:rPr>
                <w:rFonts w:ascii="Times New Roman" w:hAnsi="Times New Roman" w:cs="Times New Roman"/>
                <w:b/>
                <w:bCs/>
                <w:sz w:val="18"/>
                <w:szCs w:val="18"/>
                <w:u w:val="double"/>
              </w:rPr>
            </w:pPr>
            <w:r w:rsidRPr="00BF65AE">
              <w:rPr>
                <w:rFonts w:ascii="Times New Roman" w:hAnsi="Times New Roman" w:cs="Times New Roman"/>
                <w:b/>
                <w:bCs/>
                <w:sz w:val="18"/>
                <w:szCs w:val="18"/>
                <w:u w:val="double"/>
              </w:rPr>
              <w:t>1.612.098,92</w:t>
            </w:r>
          </w:p>
        </w:tc>
      </w:tr>
      <w:tr w:rsidR="00723E9B" w:rsidRPr="00BF65AE" w14:paraId="5BF9A1D6" w14:textId="77777777" w:rsidTr="00723E9B">
        <w:trPr>
          <w:trHeight w:val="300"/>
          <w:jc w:val="center"/>
        </w:trPr>
        <w:tc>
          <w:tcPr>
            <w:tcW w:w="3460" w:type="dxa"/>
            <w:tcBorders>
              <w:top w:val="single" w:sz="4" w:space="0" w:color="auto"/>
              <w:bottom w:val="nil"/>
            </w:tcBorders>
            <w:shd w:val="clear" w:color="auto" w:fill="auto"/>
            <w:vAlign w:val="center"/>
          </w:tcPr>
          <w:p w14:paraId="44B7E0BB" w14:textId="5F8C44ED" w:rsidR="00723E9B" w:rsidRPr="00BF65AE" w:rsidRDefault="00723E9B" w:rsidP="00B7600E">
            <w:pPr>
              <w:widowControl/>
              <w:autoSpaceDE/>
              <w:autoSpaceDN/>
              <w:adjustRightInd/>
              <w:rPr>
                <w:rFonts w:ascii="Times New Roman" w:hAnsi="Times New Roman" w:cs="Times New Roman"/>
                <w:b/>
                <w:bCs/>
                <w:sz w:val="18"/>
                <w:szCs w:val="18"/>
                <w:u w:val="single"/>
              </w:rPr>
            </w:pPr>
            <w:r>
              <w:rPr>
                <w:rFonts w:ascii="Times New Roman" w:hAnsi="Times New Roman" w:cs="Times New Roman"/>
                <w:b/>
                <w:bCs/>
                <w:sz w:val="18"/>
                <w:szCs w:val="18"/>
                <w:u w:val="single"/>
              </w:rPr>
              <w:t>Distribución</w:t>
            </w:r>
          </w:p>
        </w:tc>
        <w:tc>
          <w:tcPr>
            <w:tcW w:w="1360" w:type="dxa"/>
            <w:tcBorders>
              <w:top w:val="single" w:sz="4" w:space="0" w:color="auto"/>
              <w:bottom w:val="nil"/>
            </w:tcBorders>
            <w:shd w:val="clear" w:color="auto" w:fill="auto"/>
            <w:vAlign w:val="center"/>
          </w:tcPr>
          <w:p w14:paraId="5D352C84" w14:textId="77777777" w:rsidR="00723E9B" w:rsidRPr="00BF65AE" w:rsidRDefault="00723E9B" w:rsidP="00B7600E">
            <w:pPr>
              <w:widowControl/>
              <w:autoSpaceDE/>
              <w:autoSpaceDN/>
              <w:adjustRightInd/>
              <w:jc w:val="center"/>
              <w:rPr>
                <w:rFonts w:ascii="Times New Roman" w:hAnsi="Times New Roman" w:cs="Times New Roman"/>
                <w:sz w:val="18"/>
                <w:szCs w:val="18"/>
              </w:rPr>
            </w:pPr>
          </w:p>
        </w:tc>
      </w:tr>
      <w:tr w:rsidR="00723E9B" w:rsidRPr="00BF65AE" w14:paraId="03A5A268" w14:textId="77777777" w:rsidTr="00723E9B">
        <w:trPr>
          <w:trHeight w:val="300"/>
          <w:jc w:val="center"/>
        </w:trPr>
        <w:tc>
          <w:tcPr>
            <w:tcW w:w="3460" w:type="dxa"/>
            <w:tcBorders>
              <w:top w:val="nil"/>
              <w:bottom w:val="single" w:sz="4" w:space="0" w:color="auto"/>
            </w:tcBorders>
            <w:shd w:val="clear" w:color="auto" w:fill="auto"/>
            <w:vAlign w:val="center"/>
          </w:tcPr>
          <w:p w14:paraId="1C8B9745" w14:textId="395C3620" w:rsidR="00723E9B" w:rsidRPr="00723E9B" w:rsidRDefault="00723E9B" w:rsidP="00B7600E">
            <w:pPr>
              <w:widowControl/>
              <w:autoSpaceDE/>
              <w:autoSpaceDN/>
              <w:adjustRightInd/>
              <w:rPr>
                <w:rFonts w:ascii="Times New Roman" w:hAnsi="Times New Roman" w:cs="Times New Roman"/>
                <w:sz w:val="18"/>
                <w:szCs w:val="18"/>
              </w:rPr>
            </w:pPr>
            <w:r w:rsidRPr="00723E9B">
              <w:rPr>
                <w:rFonts w:ascii="Times New Roman" w:hAnsi="Times New Roman" w:cs="Times New Roman"/>
                <w:sz w:val="18"/>
                <w:szCs w:val="18"/>
              </w:rPr>
              <w:t>Resultados Negativos de ejercicios anteriores</w:t>
            </w:r>
          </w:p>
        </w:tc>
        <w:tc>
          <w:tcPr>
            <w:tcW w:w="1360" w:type="dxa"/>
            <w:tcBorders>
              <w:top w:val="nil"/>
              <w:bottom w:val="single" w:sz="4" w:space="0" w:color="auto"/>
            </w:tcBorders>
            <w:shd w:val="clear" w:color="auto" w:fill="auto"/>
            <w:vAlign w:val="center"/>
          </w:tcPr>
          <w:p w14:paraId="3237041D" w14:textId="452794D4" w:rsidR="00723E9B" w:rsidRPr="00BF65AE" w:rsidRDefault="00723E9B" w:rsidP="00B7600E">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1.61</w:t>
            </w:r>
            <w:r w:rsidR="00D07FC7">
              <w:rPr>
                <w:rFonts w:ascii="Times New Roman" w:hAnsi="Times New Roman" w:cs="Times New Roman"/>
                <w:sz w:val="18"/>
                <w:szCs w:val="18"/>
              </w:rPr>
              <w:t>2</w:t>
            </w:r>
            <w:r>
              <w:rPr>
                <w:rFonts w:ascii="Times New Roman" w:hAnsi="Times New Roman" w:cs="Times New Roman"/>
                <w:sz w:val="18"/>
                <w:szCs w:val="18"/>
              </w:rPr>
              <w:t>.098,92</w:t>
            </w:r>
          </w:p>
        </w:tc>
      </w:tr>
      <w:tr w:rsidR="00BF65AE" w:rsidRPr="00BF65AE" w14:paraId="0F5A9F45" w14:textId="77777777" w:rsidTr="00723E9B">
        <w:trPr>
          <w:trHeight w:val="315"/>
          <w:jc w:val="center"/>
        </w:trPr>
        <w:tc>
          <w:tcPr>
            <w:tcW w:w="3460" w:type="dxa"/>
            <w:tcBorders>
              <w:top w:val="single" w:sz="4" w:space="0" w:color="auto"/>
              <w:bottom w:val="single" w:sz="4" w:space="0" w:color="auto"/>
            </w:tcBorders>
            <w:shd w:val="clear" w:color="auto" w:fill="auto"/>
            <w:vAlign w:val="center"/>
            <w:hideMark/>
          </w:tcPr>
          <w:p w14:paraId="6BD1F7B0" w14:textId="77777777" w:rsidR="00F9754D" w:rsidRPr="00BF65AE" w:rsidRDefault="00F9754D" w:rsidP="00B7600E">
            <w:pPr>
              <w:widowControl/>
              <w:autoSpaceDE/>
              <w:autoSpaceDN/>
              <w:adjustRightInd/>
              <w:jc w:val="center"/>
              <w:rPr>
                <w:rFonts w:ascii="Times New Roman" w:hAnsi="Times New Roman" w:cs="Times New Roman"/>
                <w:b/>
                <w:bCs/>
                <w:sz w:val="18"/>
                <w:szCs w:val="18"/>
              </w:rPr>
            </w:pPr>
            <w:r w:rsidRPr="00BF65AE">
              <w:rPr>
                <w:rFonts w:ascii="Times New Roman" w:hAnsi="Times New Roman" w:cs="Times New Roman"/>
                <w:b/>
                <w:bCs/>
                <w:sz w:val="18"/>
                <w:szCs w:val="18"/>
              </w:rPr>
              <w:t>Total</w:t>
            </w:r>
          </w:p>
        </w:tc>
        <w:tc>
          <w:tcPr>
            <w:tcW w:w="1360" w:type="dxa"/>
            <w:tcBorders>
              <w:top w:val="single" w:sz="4" w:space="0" w:color="auto"/>
              <w:bottom w:val="single" w:sz="4" w:space="0" w:color="auto"/>
            </w:tcBorders>
            <w:shd w:val="clear" w:color="auto" w:fill="auto"/>
            <w:vAlign w:val="center"/>
            <w:hideMark/>
          </w:tcPr>
          <w:p w14:paraId="71180B41" w14:textId="3810E6DD" w:rsidR="00F9754D" w:rsidRPr="00BF65AE" w:rsidRDefault="00BF65AE" w:rsidP="0085445B">
            <w:pPr>
              <w:widowControl/>
              <w:autoSpaceDE/>
              <w:autoSpaceDN/>
              <w:adjustRightInd/>
              <w:jc w:val="center"/>
              <w:rPr>
                <w:rFonts w:ascii="Times New Roman" w:hAnsi="Times New Roman" w:cs="Times New Roman"/>
                <w:b/>
                <w:bCs/>
                <w:sz w:val="18"/>
                <w:szCs w:val="18"/>
                <w:u w:val="double"/>
              </w:rPr>
            </w:pPr>
            <w:r w:rsidRPr="00BF65AE">
              <w:rPr>
                <w:rFonts w:ascii="Times New Roman" w:hAnsi="Times New Roman" w:cs="Times New Roman"/>
                <w:b/>
                <w:bCs/>
                <w:sz w:val="18"/>
                <w:szCs w:val="18"/>
                <w:u w:val="double"/>
              </w:rPr>
              <w:t>1.612.098,92</w:t>
            </w:r>
          </w:p>
        </w:tc>
      </w:tr>
    </w:tbl>
    <w:p w14:paraId="179CD0A4" w14:textId="24A1A34D" w:rsidR="00F9754D" w:rsidRPr="00C8275B" w:rsidRDefault="00F9754D" w:rsidP="00F9754D">
      <w:pPr>
        <w:shd w:val="clear" w:color="auto" w:fill="FFFFFF"/>
        <w:tabs>
          <w:tab w:val="left" w:pos="8939"/>
        </w:tabs>
        <w:spacing w:before="191"/>
        <w:ind w:left="709" w:firstLine="11"/>
        <w:jc w:val="both"/>
        <w:rPr>
          <w:rFonts w:ascii="Times New Roman" w:hAnsi="Times New Roman" w:cs="Times New Roman"/>
          <w:spacing w:val="-5"/>
          <w:sz w:val="22"/>
          <w:szCs w:val="22"/>
          <w:lang w:val="es-ES_tradnl" w:eastAsia="es-ES_tradnl"/>
        </w:rPr>
      </w:pPr>
      <w:r w:rsidRPr="00C8275B">
        <w:rPr>
          <w:rFonts w:ascii="Times New Roman" w:hAnsi="Times New Roman" w:cs="Times New Roman"/>
          <w:spacing w:val="-5"/>
          <w:sz w:val="22"/>
          <w:szCs w:val="22"/>
          <w:lang w:val="es-ES_tradnl" w:eastAsia="es-ES_tradnl"/>
        </w:rPr>
        <w:t xml:space="preserve">La propuesta de la distribución del resultado del ejercicio anterior fue a compensar resultados negativos de ejercicios anteriores finalmente el Consejo de Administración aprobó según Acta del </w:t>
      </w:r>
      <w:r w:rsidR="007A323A" w:rsidRPr="00C8275B">
        <w:rPr>
          <w:rFonts w:ascii="Times New Roman" w:hAnsi="Times New Roman" w:cs="Times New Roman"/>
          <w:spacing w:val="-5"/>
          <w:sz w:val="22"/>
          <w:szCs w:val="22"/>
          <w:lang w:val="es-ES_tradnl" w:eastAsia="es-ES_tradnl"/>
        </w:rPr>
        <w:t>29</w:t>
      </w:r>
      <w:r w:rsidRPr="00C8275B">
        <w:rPr>
          <w:rFonts w:ascii="Times New Roman" w:hAnsi="Times New Roman" w:cs="Times New Roman"/>
          <w:spacing w:val="-5"/>
          <w:sz w:val="22"/>
          <w:szCs w:val="22"/>
          <w:lang w:val="es-ES_tradnl" w:eastAsia="es-ES_tradnl"/>
        </w:rPr>
        <w:t xml:space="preserve"> de </w:t>
      </w:r>
      <w:r w:rsidR="007A323A" w:rsidRPr="00C8275B">
        <w:rPr>
          <w:rFonts w:ascii="Times New Roman" w:hAnsi="Times New Roman" w:cs="Times New Roman"/>
          <w:spacing w:val="-5"/>
          <w:sz w:val="22"/>
          <w:szCs w:val="22"/>
          <w:lang w:val="es-ES_tradnl" w:eastAsia="es-ES_tradnl"/>
        </w:rPr>
        <w:t xml:space="preserve">abril </w:t>
      </w:r>
      <w:r w:rsidRPr="00C8275B">
        <w:rPr>
          <w:rFonts w:ascii="Times New Roman" w:hAnsi="Times New Roman" w:cs="Times New Roman"/>
          <w:spacing w:val="-5"/>
          <w:sz w:val="22"/>
          <w:szCs w:val="22"/>
          <w:lang w:val="es-ES_tradnl" w:eastAsia="es-ES_tradnl"/>
        </w:rPr>
        <w:t>de</w:t>
      </w:r>
      <w:r w:rsidR="007A323A" w:rsidRPr="00C8275B">
        <w:rPr>
          <w:rFonts w:ascii="Times New Roman" w:hAnsi="Times New Roman" w:cs="Times New Roman"/>
          <w:spacing w:val="-5"/>
          <w:sz w:val="22"/>
          <w:szCs w:val="22"/>
          <w:lang w:val="es-ES_tradnl" w:eastAsia="es-ES_tradnl"/>
        </w:rPr>
        <w:t>l</w:t>
      </w:r>
      <w:r w:rsidRPr="00C8275B">
        <w:rPr>
          <w:rFonts w:ascii="Times New Roman" w:hAnsi="Times New Roman" w:cs="Times New Roman"/>
          <w:spacing w:val="-5"/>
          <w:sz w:val="22"/>
          <w:szCs w:val="22"/>
          <w:lang w:val="es-ES_tradnl" w:eastAsia="es-ES_tradnl"/>
        </w:rPr>
        <w:t xml:space="preserve"> 2022 el reparto siguiente: a reserva legar el importe de</w:t>
      </w:r>
      <w:r w:rsidR="00576F6D">
        <w:rPr>
          <w:rFonts w:ascii="Times New Roman" w:hAnsi="Times New Roman" w:cs="Times New Roman"/>
          <w:spacing w:val="-5"/>
          <w:sz w:val="22"/>
          <w:szCs w:val="22"/>
          <w:lang w:val="es-ES_tradnl" w:eastAsia="es-ES_tradnl"/>
        </w:rPr>
        <w:t xml:space="preserve"> </w:t>
      </w:r>
      <w:r w:rsidRPr="00C8275B">
        <w:rPr>
          <w:rFonts w:ascii="Times New Roman" w:hAnsi="Times New Roman" w:cs="Times New Roman"/>
          <w:spacing w:val="-5"/>
          <w:sz w:val="22"/>
          <w:szCs w:val="22"/>
          <w:lang w:val="es-ES_tradnl" w:eastAsia="es-ES_tradnl"/>
        </w:rPr>
        <w:t>3.256,42 euros, a compensar resultados negativos de ejercicios anteriores el importe de 16.307,05 euros y a reservas voluntarias el importe ascendente a 13.000,72 euros.</w:t>
      </w:r>
    </w:p>
    <w:p w14:paraId="02C703C0" w14:textId="77777777" w:rsidR="00F9754D" w:rsidRPr="00C8275B" w:rsidRDefault="00F9754D" w:rsidP="006C0067">
      <w:pPr>
        <w:shd w:val="clear" w:color="auto" w:fill="FFFFFF"/>
        <w:tabs>
          <w:tab w:val="left" w:pos="8939"/>
        </w:tabs>
        <w:spacing w:before="191"/>
        <w:ind w:firstLine="720"/>
        <w:jc w:val="both"/>
        <w:rPr>
          <w:rFonts w:ascii="Times New Roman" w:hAnsi="Times New Roman" w:cs="Times New Roman"/>
          <w:b/>
          <w:bCs/>
          <w:color w:val="0000FF"/>
          <w:spacing w:val="-5"/>
          <w:sz w:val="22"/>
          <w:szCs w:val="22"/>
          <w:lang w:val="es-ES_tradnl" w:eastAsia="es-ES_tradnl"/>
        </w:rPr>
      </w:pPr>
    </w:p>
    <w:p w14:paraId="72CE52F4" w14:textId="77777777" w:rsidR="006C0067" w:rsidRPr="00C8275B" w:rsidRDefault="00B7600E" w:rsidP="006C0067">
      <w:pPr>
        <w:shd w:val="clear" w:color="auto" w:fill="FFFFFF"/>
        <w:tabs>
          <w:tab w:val="left" w:pos="8939"/>
        </w:tabs>
        <w:spacing w:before="191"/>
        <w:ind w:firstLine="720"/>
        <w:jc w:val="both"/>
        <w:rPr>
          <w:rFonts w:ascii="Times New Roman" w:hAnsi="Times New Roman" w:cs="Times New Roman"/>
          <w:b/>
          <w:bCs/>
          <w:spacing w:val="-5"/>
          <w:sz w:val="22"/>
          <w:szCs w:val="22"/>
          <w:u w:val="double"/>
          <w:lang w:val="es-ES_tradnl" w:eastAsia="es-ES_tradnl"/>
        </w:rPr>
      </w:pPr>
      <w:r w:rsidRPr="00C8275B">
        <w:rPr>
          <w:rFonts w:ascii="Times New Roman" w:hAnsi="Times New Roman" w:cs="Times New Roman"/>
          <w:b/>
          <w:bCs/>
          <w:spacing w:val="-5"/>
          <w:sz w:val="22"/>
          <w:szCs w:val="22"/>
          <w:lang w:val="es-ES_tradnl" w:eastAsia="es-ES_tradnl"/>
        </w:rPr>
        <w:t>4</w:t>
      </w:r>
      <w:r w:rsidR="006C0067" w:rsidRPr="00C8275B">
        <w:rPr>
          <w:rFonts w:ascii="Times New Roman" w:hAnsi="Times New Roman" w:cs="Times New Roman"/>
          <w:b/>
          <w:bCs/>
          <w:spacing w:val="-5"/>
          <w:sz w:val="22"/>
          <w:szCs w:val="22"/>
          <w:lang w:val="es-ES_tradnl" w:eastAsia="es-ES_tradnl"/>
        </w:rPr>
        <w:t>.</w:t>
      </w:r>
      <w:r w:rsidR="00056B5A" w:rsidRPr="00C8275B">
        <w:rPr>
          <w:rFonts w:ascii="Times New Roman" w:hAnsi="Times New Roman" w:cs="Times New Roman"/>
          <w:b/>
          <w:bCs/>
          <w:spacing w:val="-5"/>
          <w:sz w:val="22"/>
          <w:szCs w:val="22"/>
          <w:lang w:val="es-ES_tradnl" w:eastAsia="es-ES_tradnl"/>
        </w:rPr>
        <w:t xml:space="preserve"> </w:t>
      </w:r>
      <w:r w:rsidR="006C0067" w:rsidRPr="00C8275B">
        <w:rPr>
          <w:rFonts w:ascii="Times New Roman" w:hAnsi="Times New Roman" w:cs="Times New Roman"/>
          <w:b/>
          <w:bCs/>
          <w:spacing w:val="-5"/>
          <w:sz w:val="22"/>
          <w:szCs w:val="22"/>
          <w:u w:val="double"/>
          <w:lang w:val="es-ES_tradnl" w:eastAsia="es-ES_tradnl"/>
        </w:rPr>
        <w:t>NORMAS DE REGISTRO Y VALORACIÓN</w:t>
      </w:r>
    </w:p>
    <w:p w14:paraId="705144BD" w14:textId="77777777" w:rsidR="003932A5" w:rsidRPr="00C8275B" w:rsidRDefault="003932A5" w:rsidP="006C0067">
      <w:pPr>
        <w:shd w:val="clear" w:color="auto" w:fill="FFFFFF"/>
        <w:tabs>
          <w:tab w:val="left" w:pos="8939"/>
        </w:tabs>
        <w:spacing w:before="191"/>
        <w:ind w:firstLine="720"/>
        <w:jc w:val="both"/>
        <w:rPr>
          <w:rFonts w:ascii="Times New Roman" w:hAnsi="Times New Roman" w:cs="Times New Roman"/>
          <w:spacing w:val="-17"/>
          <w:sz w:val="14"/>
          <w:szCs w:val="22"/>
          <w:lang w:val="es-ES_tradnl" w:eastAsia="es-ES_tradnl"/>
        </w:rPr>
      </w:pPr>
    </w:p>
    <w:p w14:paraId="78C6E84A" w14:textId="77777777" w:rsidR="003932A5" w:rsidRPr="00C8275B" w:rsidRDefault="00B7600E" w:rsidP="003932A5">
      <w:pPr>
        <w:shd w:val="clear" w:color="auto" w:fill="FFFFFF"/>
        <w:ind w:firstLine="709"/>
        <w:jc w:val="both"/>
        <w:rPr>
          <w:rFonts w:ascii="Times New Roman" w:hAnsi="Times New Roman" w:cs="Times New Roman"/>
          <w:b/>
          <w:bCs/>
          <w:spacing w:val="-3"/>
          <w:sz w:val="22"/>
          <w:szCs w:val="22"/>
          <w:lang w:val="es-ES_tradnl" w:eastAsia="es-ES_tradnl"/>
        </w:rPr>
      </w:pPr>
      <w:proofErr w:type="gramStart"/>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 xml:space="preserve">.1 </w:t>
      </w:r>
      <w:r w:rsidR="00A11014"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lang w:val="es-ES_tradnl" w:eastAsia="es-ES_tradnl"/>
        </w:rPr>
        <w:t>Inmovilizado</w:t>
      </w:r>
      <w:proofErr w:type="gramEnd"/>
      <w:r w:rsidR="006C0067" w:rsidRPr="00C8275B">
        <w:rPr>
          <w:rFonts w:ascii="Times New Roman" w:hAnsi="Times New Roman" w:cs="Times New Roman"/>
          <w:b/>
          <w:bCs/>
          <w:spacing w:val="-3"/>
          <w:sz w:val="22"/>
          <w:szCs w:val="22"/>
          <w:lang w:val="es-ES_tradnl" w:eastAsia="es-ES_tradnl"/>
        </w:rPr>
        <w:t xml:space="preserve"> intangible:</w:t>
      </w:r>
    </w:p>
    <w:p w14:paraId="01CA52CD" w14:textId="77777777" w:rsidR="003932A5" w:rsidRPr="00C8275B" w:rsidRDefault="003932A5" w:rsidP="003932A5">
      <w:pPr>
        <w:shd w:val="clear" w:color="auto" w:fill="FFFFFF"/>
        <w:ind w:firstLine="709"/>
        <w:jc w:val="both"/>
        <w:rPr>
          <w:rFonts w:ascii="Times New Roman" w:hAnsi="Times New Roman" w:cs="Times New Roman"/>
          <w:b/>
          <w:bCs/>
          <w:spacing w:val="-3"/>
          <w:sz w:val="18"/>
          <w:szCs w:val="22"/>
          <w:lang w:val="es-ES_tradnl" w:eastAsia="es-ES_tradnl"/>
        </w:rPr>
      </w:pPr>
    </w:p>
    <w:p w14:paraId="49D735F3" w14:textId="77777777" w:rsidR="006C0067" w:rsidRPr="00C8275B" w:rsidRDefault="006C0067" w:rsidP="000E24D4">
      <w:pPr>
        <w:shd w:val="clear" w:color="auto" w:fill="FFFFFF"/>
        <w:ind w:left="720" w:right="32"/>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 xml:space="preserve">Los activos intangibles se registran por su coste de adquisición y/o producción y, </w:t>
      </w:r>
      <w:r w:rsidRPr="00C8275B">
        <w:rPr>
          <w:rFonts w:ascii="Times New Roman" w:hAnsi="Times New Roman" w:cs="Times New Roman"/>
          <w:spacing w:val="-1"/>
          <w:sz w:val="22"/>
          <w:szCs w:val="22"/>
          <w:lang w:val="es-ES_tradnl" w:eastAsia="es-ES_tradnl"/>
        </w:rPr>
        <w:t xml:space="preserve">posteriormente, se valoran a su coste menos, según proceda, su correspondiente amortización </w:t>
      </w:r>
      <w:r w:rsidRPr="00C8275B">
        <w:rPr>
          <w:rFonts w:ascii="Times New Roman" w:hAnsi="Times New Roman" w:cs="Times New Roman"/>
          <w:spacing w:val="-2"/>
          <w:sz w:val="22"/>
          <w:szCs w:val="22"/>
          <w:lang w:val="es-ES_tradnl" w:eastAsia="es-ES_tradnl"/>
        </w:rPr>
        <w:t xml:space="preserve">acumulada y/o pérdidas por deterioro que hayan experimentado. Dichos activos se amortizan en </w:t>
      </w:r>
      <w:r w:rsidRPr="00C8275B">
        <w:rPr>
          <w:rFonts w:ascii="Times New Roman" w:hAnsi="Times New Roman" w:cs="Times New Roman"/>
          <w:sz w:val="22"/>
          <w:szCs w:val="22"/>
          <w:lang w:val="es-ES_tradnl" w:eastAsia="es-ES_tradnl"/>
        </w:rPr>
        <w:t>función de su vida útil.</w:t>
      </w:r>
    </w:p>
    <w:p w14:paraId="603D7CF3" w14:textId="77777777" w:rsidR="000E24D4" w:rsidRPr="00C8275B" w:rsidRDefault="000E24D4" w:rsidP="000E24D4">
      <w:pPr>
        <w:shd w:val="clear" w:color="auto" w:fill="FFFFFF"/>
        <w:ind w:left="720" w:right="25"/>
        <w:jc w:val="both"/>
        <w:rPr>
          <w:rFonts w:ascii="Times New Roman" w:hAnsi="Times New Roman" w:cs="Times New Roman"/>
          <w:color w:val="0000FF"/>
          <w:spacing w:val="-2"/>
          <w:sz w:val="22"/>
          <w:szCs w:val="22"/>
          <w:lang w:val="es-ES_tradnl" w:eastAsia="es-ES_tradnl"/>
        </w:rPr>
      </w:pPr>
    </w:p>
    <w:p w14:paraId="31EF66AC" w14:textId="77777777" w:rsidR="002062D4" w:rsidRPr="00C8275B" w:rsidRDefault="002062D4" w:rsidP="000E24D4">
      <w:pPr>
        <w:shd w:val="clear" w:color="auto" w:fill="FFFFFF"/>
        <w:ind w:left="720" w:right="25"/>
        <w:jc w:val="both"/>
        <w:rPr>
          <w:rFonts w:ascii="Times New Roman" w:hAnsi="Times New Roman" w:cs="Times New Roman"/>
          <w:color w:val="0000FF"/>
          <w:spacing w:val="-2"/>
          <w:sz w:val="22"/>
          <w:szCs w:val="22"/>
          <w:lang w:val="es-ES_tradnl" w:eastAsia="es-ES_tradnl"/>
        </w:rPr>
      </w:pPr>
    </w:p>
    <w:p w14:paraId="484299A5" w14:textId="77777777" w:rsidR="006C0067" w:rsidRPr="00C8275B" w:rsidRDefault="006C0067" w:rsidP="000E24D4">
      <w:pPr>
        <w:shd w:val="clear" w:color="auto" w:fill="FFFFFF"/>
        <w:ind w:left="720" w:right="25"/>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Sociedad reconoce cualquier pérdida que haya podido producirse en el valor registrado de estos activos con origen en su deterioro, los criterios para el reconocimiento de las pérdidas por </w:t>
      </w:r>
      <w:r w:rsidRPr="00C8275B">
        <w:rPr>
          <w:rFonts w:ascii="Times New Roman" w:hAnsi="Times New Roman" w:cs="Times New Roman"/>
          <w:sz w:val="22"/>
          <w:szCs w:val="22"/>
          <w:lang w:val="es-ES_tradnl" w:eastAsia="es-ES_tradnl"/>
        </w:rPr>
        <w:t xml:space="preserve">deterioro de estos activos y, en su caso, de las recuperaciones de las pérdidas por deterioro </w:t>
      </w:r>
      <w:r w:rsidRPr="00C8275B">
        <w:rPr>
          <w:rFonts w:ascii="Times New Roman" w:hAnsi="Times New Roman" w:cs="Times New Roman"/>
          <w:spacing w:val="-2"/>
          <w:sz w:val="22"/>
          <w:szCs w:val="22"/>
          <w:lang w:val="es-ES_tradnl" w:eastAsia="es-ES_tradnl"/>
        </w:rPr>
        <w:t>registradas en ejercicios anteriores son similares a los aplicados para los activos materiales.</w:t>
      </w:r>
    </w:p>
    <w:p w14:paraId="3E0D1B85" w14:textId="77777777" w:rsidR="006C0067" w:rsidRPr="00C8275B" w:rsidRDefault="006C0067" w:rsidP="000E24D4">
      <w:pPr>
        <w:shd w:val="clear" w:color="auto" w:fill="FFFFFF"/>
        <w:spacing w:before="216"/>
        <w:ind w:firstLine="708"/>
        <w:jc w:val="both"/>
        <w:rPr>
          <w:rFonts w:ascii="Times New Roman" w:hAnsi="Times New Roman" w:cs="Times New Roman"/>
          <w:sz w:val="22"/>
          <w:szCs w:val="22"/>
        </w:rPr>
      </w:pPr>
      <w:r w:rsidRPr="00C8275B">
        <w:rPr>
          <w:rFonts w:ascii="Times New Roman" w:hAnsi="Times New Roman" w:cs="Times New Roman"/>
          <w:spacing w:val="-2"/>
          <w:sz w:val="22"/>
          <w:szCs w:val="22"/>
          <w:u w:val="single"/>
          <w:lang w:val="es-ES_tradnl" w:eastAsia="es-ES_tradnl"/>
        </w:rPr>
        <w:t>Aplicaciones informáticas</w:t>
      </w:r>
    </w:p>
    <w:p w14:paraId="17E58939" w14:textId="77777777" w:rsidR="006C0067" w:rsidRPr="00C8275B" w:rsidRDefault="006C0067" w:rsidP="00056B5A">
      <w:pPr>
        <w:shd w:val="clear" w:color="auto" w:fill="FFFFFF"/>
        <w:spacing w:before="205"/>
        <w:ind w:left="720" w:right="18"/>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Los costes de adquisición y desarrollo incurridos en relación con los sistemas informáticos </w:t>
      </w:r>
      <w:r w:rsidRPr="00C8275B">
        <w:rPr>
          <w:rFonts w:ascii="Times New Roman" w:hAnsi="Times New Roman" w:cs="Times New Roman"/>
          <w:spacing w:val="-2"/>
          <w:sz w:val="22"/>
          <w:szCs w:val="22"/>
          <w:lang w:val="es-ES_tradnl" w:eastAsia="es-ES_tradnl"/>
        </w:rPr>
        <w:t xml:space="preserve">básicos en la gestión de la Sociedad se registran con cargo al epígrafe "Aplicaciones informáticas" </w:t>
      </w:r>
      <w:r w:rsidRPr="00C8275B">
        <w:rPr>
          <w:rFonts w:ascii="Times New Roman" w:hAnsi="Times New Roman" w:cs="Times New Roman"/>
          <w:sz w:val="22"/>
          <w:szCs w:val="22"/>
          <w:lang w:val="es-ES_tradnl" w:eastAsia="es-ES_tradnl"/>
        </w:rPr>
        <w:t>del balance de situación.</w:t>
      </w:r>
    </w:p>
    <w:p w14:paraId="5BCE0342" w14:textId="77777777" w:rsidR="006C0067" w:rsidRPr="00C8275B" w:rsidRDefault="006C0067" w:rsidP="00056B5A">
      <w:pPr>
        <w:shd w:val="clear" w:color="auto" w:fill="FFFFFF"/>
        <w:spacing w:before="230"/>
        <w:ind w:left="720" w:right="14"/>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lastRenderedPageBreak/>
        <w:t xml:space="preserve">Los costes de mantenimiento de los sistemas informáticos se registran con cargo a la cuenta de </w:t>
      </w:r>
      <w:r w:rsidRPr="00C8275B">
        <w:rPr>
          <w:rFonts w:ascii="Times New Roman" w:hAnsi="Times New Roman" w:cs="Times New Roman"/>
          <w:sz w:val="22"/>
          <w:szCs w:val="22"/>
          <w:lang w:val="es-ES_tradnl" w:eastAsia="es-ES_tradnl"/>
        </w:rPr>
        <w:t>resultados del ejercicio en que se incurren.</w:t>
      </w:r>
    </w:p>
    <w:p w14:paraId="095FD39F" w14:textId="77777777" w:rsidR="006C0067" w:rsidRPr="00C8275B" w:rsidRDefault="006C0067" w:rsidP="00056B5A">
      <w:pPr>
        <w:shd w:val="clear" w:color="auto" w:fill="FFFFFF"/>
        <w:spacing w:before="230"/>
        <w:ind w:left="720" w:right="14"/>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amortización de las aplicaciones informáticas se realiza linealmente en un periodo entre 3 y 4 años.</w:t>
      </w:r>
    </w:p>
    <w:p w14:paraId="3C4629AB" w14:textId="77777777" w:rsidR="006C0067" w:rsidRPr="00C8275B" w:rsidRDefault="006C0067" w:rsidP="00056B5A">
      <w:pPr>
        <w:shd w:val="clear" w:color="auto" w:fill="FFFFFF"/>
        <w:spacing w:before="240"/>
        <w:ind w:firstLine="708"/>
        <w:jc w:val="both"/>
        <w:rPr>
          <w:rFonts w:ascii="Times New Roman" w:hAnsi="Times New Roman" w:cs="Times New Roman"/>
          <w:sz w:val="22"/>
          <w:szCs w:val="22"/>
        </w:rPr>
      </w:pPr>
      <w:r w:rsidRPr="00C8275B">
        <w:rPr>
          <w:rFonts w:ascii="Times New Roman" w:hAnsi="Times New Roman" w:cs="Times New Roman"/>
          <w:spacing w:val="-3"/>
          <w:sz w:val="22"/>
          <w:szCs w:val="22"/>
          <w:u w:val="single"/>
          <w:lang w:val="es-ES_tradnl" w:eastAsia="es-ES_tradnl"/>
        </w:rPr>
        <w:t>Propiedad Industrial:</w:t>
      </w:r>
    </w:p>
    <w:p w14:paraId="6AB953B8" w14:textId="77777777" w:rsidR="006C0067" w:rsidRPr="00C8275B" w:rsidRDefault="00FF7F64" w:rsidP="00FF7F64">
      <w:pPr>
        <w:shd w:val="clear" w:color="auto" w:fill="FFFFFF"/>
        <w:spacing w:before="205"/>
        <w:ind w:left="720" w:right="18"/>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Los costes de adquisición y desarrollo incurridos en relación con la Propiedad Industrial </w:t>
      </w:r>
      <w:r w:rsidRPr="00C8275B">
        <w:rPr>
          <w:rFonts w:ascii="Times New Roman" w:hAnsi="Times New Roman" w:cs="Times New Roman"/>
          <w:spacing w:val="-2"/>
          <w:sz w:val="22"/>
          <w:szCs w:val="22"/>
          <w:lang w:val="es-ES_tradnl" w:eastAsia="es-ES_tradnl"/>
        </w:rPr>
        <w:t>se registran con cargo al epígrafe "Propiedad Industrial de</w:t>
      </w:r>
      <w:r w:rsidRPr="00C8275B">
        <w:rPr>
          <w:rFonts w:ascii="Times New Roman" w:hAnsi="Times New Roman" w:cs="Times New Roman"/>
          <w:sz w:val="22"/>
          <w:szCs w:val="22"/>
          <w:lang w:val="es-ES_tradnl" w:eastAsia="es-ES_tradnl"/>
        </w:rPr>
        <w:t>l balance de situación.</w:t>
      </w:r>
      <w:r w:rsidRPr="00C8275B">
        <w:rPr>
          <w:rFonts w:ascii="Times New Roman" w:hAnsi="Times New Roman" w:cs="Times New Roman"/>
          <w:sz w:val="22"/>
          <w:szCs w:val="22"/>
        </w:rPr>
        <w:t xml:space="preserve"> </w:t>
      </w:r>
      <w:r w:rsidR="006C0067" w:rsidRPr="00C8275B">
        <w:rPr>
          <w:rFonts w:ascii="Times New Roman" w:hAnsi="Times New Roman" w:cs="Times New Roman"/>
          <w:sz w:val="22"/>
          <w:szCs w:val="22"/>
          <w:lang w:val="es-ES_tradnl" w:eastAsia="es-ES_tradnl"/>
        </w:rPr>
        <w:t xml:space="preserve">Se ha incluido en el activo del balance esta partida, ya que cumple los requisitos </w:t>
      </w:r>
      <w:r w:rsidR="006C0067" w:rsidRPr="00C8275B">
        <w:rPr>
          <w:rFonts w:ascii="Times New Roman" w:hAnsi="Times New Roman" w:cs="Times New Roman"/>
          <w:spacing w:val="-3"/>
          <w:sz w:val="22"/>
          <w:szCs w:val="22"/>
          <w:lang w:val="es-ES_tradnl" w:eastAsia="es-ES_tradnl"/>
        </w:rPr>
        <w:t>especificados en las normas de registro y de valoración. Se amortiza linealmente durante 4 años.</w:t>
      </w:r>
    </w:p>
    <w:p w14:paraId="62CDA870" w14:textId="77777777" w:rsidR="002523DB" w:rsidRPr="00C8275B" w:rsidRDefault="002523DB" w:rsidP="00717FE8">
      <w:pPr>
        <w:shd w:val="clear" w:color="auto" w:fill="FFFFFF"/>
        <w:ind w:right="14"/>
        <w:jc w:val="both"/>
        <w:rPr>
          <w:rFonts w:ascii="Times New Roman" w:hAnsi="Times New Roman" w:cs="Times New Roman"/>
          <w:sz w:val="22"/>
          <w:szCs w:val="22"/>
        </w:rPr>
      </w:pPr>
    </w:p>
    <w:p w14:paraId="06C3AE6D" w14:textId="77777777" w:rsidR="002523DB" w:rsidRPr="00C8275B"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z w:val="22"/>
          <w:szCs w:val="22"/>
          <w:lang w:val="es-ES_tradnl" w:eastAsia="es-ES_tradnl"/>
        </w:rPr>
        <w:t xml:space="preserve">En la fecha de cierre de cada ejercicio la Sociedad evalúa la existencia de indicios de </w:t>
      </w:r>
      <w:r w:rsidRPr="00C8275B">
        <w:rPr>
          <w:rFonts w:ascii="Times New Roman" w:hAnsi="Times New Roman" w:cs="Times New Roman"/>
          <w:spacing w:val="-1"/>
          <w:sz w:val="22"/>
          <w:szCs w:val="22"/>
          <w:lang w:val="es-ES_tradnl" w:eastAsia="es-ES_tradnl"/>
        </w:rPr>
        <w:t xml:space="preserve">deterioro de cada elemento del inmovilizado intangible. De existir estos indicios, se compara el </w:t>
      </w:r>
      <w:r w:rsidRPr="00C8275B">
        <w:rPr>
          <w:rFonts w:ascii="Times New Roman" w:hAnsi="Times New Roman" w:cs="Times New Roman"/>
          <w:spacing w:val="-3"/>
          <w:sz w:val="22"/>
          <w:szCs w:val="22"/>
          <w:lang w:val="es-ES_tradnl" w:eastAsia="es-ES_tradnl"/>
        </w:rPr>
        <w:t xml:space="preserve">valor en libros de cada uno de los elementos del inmovilizado con su valor recuperable, siendo este el mayor entre su valor razonable menos el coste de venta y el valor en uso.     </w:t>
      </w:r>
    </w:p>
    <w:p w14:paraId="1C0747FE" w14:textId="77777777" w:rsidR="002523DB" w:rsidRPr="00C8275B" w:rsidRDefault="002523DB" w:rsidP="002523DB">
      <w:pPr>
        <w:shd w:val="clear" w:color="auto" w:fill="FFFFFF"/>
        <w:ind w:left="720" w:right="6"/>
        <w:jc w:val="both"/>
        <w:rPr>
          <w:rFonts w:ascii="Times New Roman" w:hAnsi="Times New Roman" w:cs="Times New Roman"/>
          <w:spacing w:val="-3"/>
          <w:sz w:val="22"/>
          <w:szCs w:val="22"/>
          <w:lang w:val="es-ES_tradnl" w:eastAsia="es-ES_tradnl"/>
        </w:rPr>
      </w:pPr>
    </w:p>
    <w:p w14:paraId="5E619E2F" w14:textId="77777777" w:rsidR="006C0067" w:rsidRPr="00C8275B" w:rsidRDefault="006C0067" w:rsidP="002523DB">
      <w:pPr>
        <w:shd w:val="clear" w:color="auto" w:fill="FFFFFF"/>
        <w:ind w:left="720" w:right="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14:paraId="61FE52C7" w14:textId="77777777" w:rsidR="006C0067" w:rsidRPr="00C8275B"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supuesto de que se revierta la pérdida por deterioro, el establecimiento de los valores </w:t>
      </w:r>
      <w:r w:rsidRPr="00C8275B">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C8275B">
        <w:rPr>
          <w:rFonts w:ascii="Times New Roman" w:hAnsi="Times New Roman" w:cs="Times New Roman"/>
          <w:sz w:val="22"/>
          <w:szCs w:val="22"/>
          <w:lang w:val="es-ES_tradnl" w:eastAsia="es-ES_tradnl"/>
        </w:rPr>
        <w:t>reconocido la pérdida por deterioro.</w:t>
      </w:r>
    </w:p>
    <w:p w14:paraId="74BA9719" w14:textId="77777777" w:rsidR="00FF7F64" w:rsidRPr="00C8275B" w:rsidRDefault="00FF7F64" w:rsidP="006C0067">
      <w:pPr>
        <w:shd w:val="clear" w:color="auto" w:fill="FFFFFF"/>
        <w:ind w:left="720" w:right="11" w:firstLine="720"/>
        <w:jc w:val="both"/>
        <w:rPr>
          <w:rFonts w:ascii="Times New Roman" w:hAnsi="Times New Roman" w:cs="Times New Roman"/>
          <w:sz w:val="22"/>
          <w:szCs w:val="22"/>
          <w:lang w:val="es-ES_tradnl"/>
        </w:rPr>
      </w:pPr>
    </w:p>
    <w:p w14:paraId="35438F1F" w14:textId="77777777" w:rsidR="006C0067" w:rsidRPr="00C8275B" w:rsidRDefault="005461DE" w:rsidP="00056B5A">
      <w:pPr>
        <w:shd w:val="clear" w:color="auto" w:fill="FFFFFF"/>
        <w:ind w:right="11" w:firstLine="708"/>
        <w:jc w:val="both"/>
        <w:rPr>
          <w:rFonts w:ascii="Times New Roman" w:hAnsi="Times New Roman" w:cs="Times New Roman"/>
          <w:sz w:val="22"/>
          <w:szCs w:val="22"/>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.2 Inmovilizado material:</w:t>
      </w:r>
    </w:p>
    <w:p w14:paraId="7BD6679C" w14:textId="77777777" w:rsidR="006C0067" w:rsidRPr="00C8275B" w:rsidRDefault="006C0067" w:rsidP="00056B5A">
      <w:pPr>
        <w:shd w:val="clear" w:color="auto" w:fill="FFFFFF"/>
        <w:spacing w:before="245"/>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Los bienes comprendidos en el inmovilizado material se valoran </w:t>
      </w:r>
      <w:r w:rsidRPr="00C8275B">
        <w:rPr>
          <w:rFonts w:ascii="Times New Roman" w:hAnsi="Times New Roman" w:cs="Times New Roman"/>
          <w:bCs/>
          <w:spacing w:val="-2"/>
          <w:sz w:val="22"/>
          <w:szCs w:val="22"/>
          <w:lang w:val="es-ES_tradnl" w:eastAsia="es-ES_tradnl"/>
        </w:rPr>
        <w:t xml:space="preserve">a </w:t>
      </w:r>
      <w:r w:rsidRPr="00C8275B">
        <w:rPr>
          <w:rFonts w:ascii="Times New Roman" w:hAnsi="Times New Roman" w:cs="Times New Roman"/>
          <w:spacing w:val="-2"/>
          <w:sz w:val="22"/>
          <w:szCs w:val="22"/>
          <w:lang w:val="es-ES_tradnl" w:eastAsia="es-ES_tradnl"/>
        </w:rPr>
        <w:t xml:space="preserve">precio de adquisición o al coste de producción, incluyéndose aquellos impuestos indirectos que no sean recuperables </w:t>
      </w:r>
      <w:r w:rsidRPr="00C8275B">
        <w:rPr>
          <w:rFonts w:ascii="Times New Roman" w:hAnsi="Times New Roman" w:cs="Times New Roman"/>
          <w:sz w:val="22"/>
          <w:szCs w:val="22"/>
          <w:lang w:val="es-ES_tradnl" w:eastAsia="es-ES_tradnl"/>
        </w:rPr>
        <w:t>directamente de la Hacienda Pública.</w:t>
      </w:r>
    </w:p>
    <w:p w14:paraId="6B51B338" w14:textId="77777777" w:rsidR="006C0067" w:rsidRPr="00C8275B" w:rsidRDefault="006C0067" w:rsidP="0060635D">
      <w:pPr>
        <w:shd w:val="clear" w:color="auto" w:fill="FFFFFF"/>
        <w:spacing w:before="227"/>
        <w:ind w:left="709" w:right="7"/>
        <w:jc w:val="both"/>
        <w:rPr>
          <w:rFonts w:ascii="Times New Roman" w:hAnsi="Times New Roman" w:cs="Times New Roman"/>
          <w:sz w:val="22"/>
          <w:szCs w:val="22"/>
        </w:rPr>
      </w:pPr>
      <w:r w:rsidRPr="00C8275B">
        <w:rPr>
          <w:rFonts w:ascii="Times New Roman" w:hAnsi="Times New Roman" w:cs="Times New Roman"/>
          <w:spacing w:val="-2"/>
          <w:sz w:val="22"/>
          <w:szCs w:val="22"/>
          <w:lang w:val="es-ES_tradnl" w:eastAsia="es-ES_tradnl"/>
        </w:rPr>
        <w:t xml:space="preserve">Forman parte de la valoración inicial del inmovilizado material los costes financieros </w:t>
      </w:r>
      <w:r w:rsidRPr="00C8275B">
        <w:rPr>
          <w:rFonts w:ascii="Times New Roman" w:hAnsi="Times New Roman" w:cs="Times New Roman"/>
          <w:sz w:val="22"/>
          <w:szCs w:val="22"/>
          <w:lang w:val="es-ES_tradnl" w:eastAsia="es-ES_tradnl"/>
        </w:rPr>
        <w:t xml:space="preserve">devengados antes de la puesta en condiciones de funcionamiento, correspondientes a la </w:t>
      </w:r>
      <w:r w:rsidRPr="00C8275B">
        <w:rPr>
          <w:rFonts w:ascii="Times New Roman" w:hAnsi="Times New Roman" w:cs="Times New Roman"/>
          <w:spacing w:val="-3"/>
          <w:sz w:val="22"/>
          <w:szCs w:val="22"/>
          <w:lang w:val="es-ES_tradnl" w:eastAsia="es-ES_tradnl"/>
        </w:rPr>
        <w:t xml:space="preserve">financiación de aquellos bienes que necesiten un período de tiempo superior a un año para estar en </w:t>
      </w:r>
      <w:r w:rsidRPr="00C8275B">
        <w:rPr>
          <w:rFonts w:ascii="Times New Roman" w:hAnsi="Times New Roman" w:cs="Times New Roman"/>
          <w:sz w:val="22"/>
          <w:szCs w:val="22"/>
          <w:lang w:val="es-ES_tradnl" w:eastAsia="es-ES_tradnl"/>
        </w:rPr>
        <w:t>condiciones de uso.</w:t>
      </w:r>
    </w:p>
    <w:p w14:paraId="38556CBF" w14:textId="77777777" w:rsidR="006C0067" w:rsidRPr="00C8275B" w:rsidRDefault="006C0067" w:rsidP="00056B5A">
      <w:pPr>
        <w:shd w:val="clear" w:color="auto" w:fill="FFFFFF"/>
        <w:spacing w:before="216"/>
        <w:ind w:left="720" w:right="11"/>
        <w:jc w:val="both"/>
        <w:rPr>
          <w:rFonts w:ascii="Times New Roman" w:hAnsi="Times New Roman" w:cs="Times New Roman"/>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Los costes de ampliación, modernización o mejora son incorporados al activo como mayor </w:t>
      </w:r>
      <w:r w:rsidRPr="00C8275B">
        <w:rPr>
          <w:rFonts w:ascii="Times New Roman" w:hAnsi="Times New Roman" w:cs="Times New Roman"/>
          <w:spacing w:val="-2"/>
          <w:sz w:val="22"/>
          <w:szCs w:val="22"/>
          <w:lang w:val="es-ES_tradnl" w:eastAsia="es-ES_tradnl"/>
        </w:rPr>
        <w:t xml:space="preserve">valor del bien exclusivamente cuando suponen un aumento de su capacidad, productividad o prolongación de su vida útil, y siempre que sea posible conocer o estimar el valor contable de los </w:t>
      </w:r>
      <w:r w:rsidRPr="00C8275B">
        <w:rPr>
          <w:rFonts w:ascii="Times New Roman" w:hAnsi="Times New Roman" w:cs="Times New Roman"/>
          <w:sz w:val="22"/>
          <w:szCs w:val="22"/>
          <w:lang w:val="es-ES_tradnl" w:eastAsia="es-ES_tradnl"/>
        </w:rPr>
        <w:t>elementos que resultan dados de baja por haber sido sustituidos.</w:t>
      </w:r>
    </w:p>
    <w:p w14:paraId="4039A98A" w14:textId="77777777" w:rsidR="006C0067" w:rsidRPr="00C8275B" w:rsidRDefault="006C0067" w:rsidP="00E60B2C">
      <w:pPr>
        <w:shd w:val="clear" w:color="auto" w:fill="FFFFFF"/>
        <w:spacing w:before="230"/>
        <w:ind w:left="720" w:right="14"/>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Los gastos de reparaciones que no representan una ampliación de la vida útil y los gastos </w:t>
      </w:r>
      <w:r w:rsidRPr="00C8275B">
        <w:rPr>
          <w:rFonts w:ascii="Times New Roman" w:hAnsi="Times New Roman" w:cs="Times New Roman"/>
          <w:spacing w:val="-2"/>
          <w:sz w:val="22"/>
          <w:szCs w:val="22"/>
          <w:lang w:val="es-ES_tradnl" w:eastAsia="es-ES_tradnl"/>
        </w:rPr>
        <w:t xml:space="preserve">de mantenimiento y conservación se imputan directamente a la cuenta de pérdidas y ganancias, </w:t>
      </w:r>
      <w:r w:rsidRPr="00C8275B">
        <w:rPr>
          <w:rFonts w:ascii="Times New Roman" w:hAnsi="Times New Roman" w:cs="Times New Roman"/>
          <w:spacing w:val="-3"/>
          <w:sz w:val="22"/>
          <w:szCs w:val="22"/>
          <w:lang w:val="es-ES_tradnl" w:eastAsia="es-ES_tradnl"/>
        </w:rPr>
        <w:t>siguiendo el principio del devengo, como gasto del ejercicio en que se incurren.</w:t>
      </w:r>
    </w:p>
    <w:p w14:paraId="7F29D7EA" w14:textId="77777777" w:rsidR="006C0067" w:rsidRPr="00C8275B" w:rsidRDefault="006C0067" w:rsidP="00E60B2C">
      <w:pPr>
        <w:shd w:val="clear" w:color="auto" w:fill="FFFFFF"/>
        <w:spacing w:before="241"/>
        <w:ind w:left="720" w:right="4"/>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amortización de estos activos comienza cuando los activos están en condiciones de </w:t>
      </w:r>
      <w:r w:rsidRPr="00C8275B">
        <w:rPr>
          <w:rFonts w:ascii="Times New Roman" w:hAnsi="Times New Roman" w:cs="Times New Roman"/>
          <w:sz w:val="22"/>
          <w:szCs w:val="22"/>
          <w:lang w:val="es-ES_tradnl" w:eastAsia="es-ES_tradnl"/>
        </w:rPr>
        <w:t>funcionamiento.</w:t>
      </w:r>
    </w:p>
    <w:p w14:paraId="4130362D" w14:textId="77777777" w:rsidR="005461DE" w:rsidRPr="00C8275B" w:rsidRDefault="005461DE" w:rsidP="005461DE">
      <w:pPr>
        <w:shd w:val="clear" w:color="auto" w:fill="FFFFFF"/>
        <w:spacing w:before="241"/>
        <w:ind w:left="720" w:right="4"/>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amortización se calcula, aplicando el método lineal, sobre el coste de adquisición de los activos menos su valor residual; entendiéndose que los terrenos sobre los que se asientan los edificios y otras construcciones tienen una vida útil indefinida y que, por tanto, no son objeto de amortización.</w:t>
      </w:r>
    </w:p>
    <w:p w14:paraId="719B3B5B" w14:textId="77777777" w:rsidR="005461DE" w:rsidRDefault="005461DE" w:rsidP="002523DB">
      <w:pPr>
        <w:shd w:val="clear" w:color="auto" w:fill="FFFFFF"/>
        <w:ind w:left="720"/>
        <w:jc w:val="both"/>
        <w:rPr>
          <w:rFonts w:ascii="Times New Roman" w:hAnsi="Times New Roman" w:cs="Times New Roman"/>
          <w:spacing w:val="-2"/>
          <w:sz w:val="22"/>
          <w:szCs w:val="22"/>
          <w:lang w:val="es-ES_tradnl" w:eastAsia="es-ES_tradnl"/>
        </w:rPr>
      </w:pPr>
    </w:p>
    <w:p w14:paraId="2981C1A9"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02FCFD1D"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58785C86"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52AEB145"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557B2B7F"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54F98D76"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28916ABC"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577FE419" w14:textId="77777777" w:rsidR="004A0638"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233A57C0" w14:textId="77777777" w:rsidR="004A0638" w:rsidRPr="00C8275B" w:rsidRDefault="004A0638" w:rsidP="002523DB">
      <w:pPr>
        <w:shd w:val="clear" w:color="auto" w:fill="FFFFFF"/>
        <w:ind w:left="720"/>
        <w:jc w:val="both"/>
        <w:rPr>
          <w:rFonts w:ascii="Times New Roman" w:hAnsi="Times New Roman" w:cs="Times New Roman"/>
          <w:spacing w:val="-2"/>
          <w:sz w:val="22"/>
          <w:szCs w:val="22"/>
          <w:lang w:val="es-ES_tradnl" w:eastAsia="es-ES_tradnl"/>
        </w:rPr>
      </w:pPr>
    </w:p>
    <w:p w14:paraId="6B410F30" w14:textId="77777777" w:rsidR="006C0067" w:rsidRPr="00C8275B" w:rsidRDefault="006C0067" w:rsidP="002523DB">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lastRenderedPageBreak/>
        <w:t xml:space="preserve">Las dotaciones anuales en concepto de amortización de los activos materiales se imputan a la cuenta de pérdidas y ganancias, en función de la vida útil estimada de los diferentes elementos, </w:t>
      </w:r>
      <w:r w:rsidRPr="00C8275B">
        <w:rPr>
          <w:rFonts w:ascii="Times New Roman" w:hAnsi="Times New Roman" w:cs="Times New Roman"/>
          <w:spacing w:val="-1"/>
          <w:sz w:val="22"/>
          <w:szCs w:val="22"/>
          <w:lang w:val="es-ES_tradnl" w:eastAsia="es-ES_tradnl"/>
        </w:rPr>
        <w:t xml:space="preserve">atendiendo a la depreciación efectiva sufrida por su funcionamiento, uso y disfrute. Los años de </w:t>
      </w:r>
      <w:r w:rsidRPr="00C8275B">
        <w:rPr>
          <w:rFonts w:ascii="Times New Roman" w:hAnsi="Times New Roman" w:cs="Times New Roman"/>
          <w:sz w:val="22"/>
          <w:szCs w:val="22"/>
          <w:lang w:val="es-ES_tradnl" w:eastAsia="es-ES_tradnl"/>
        </w:rPr>
        <w:t>vida útil estimada son los siguientes:</w:t>
      </w:r>
    </w:p>
    <w:p w14:paraId="39F08B77" w14:textId="77777777" w:rsidR="004862F5" w:rsidRPr="00C8275B" w:rsidRDefault="004862F5" w:rsidP="002523DB">
      <w:pPr>
        <w:shd w:val="clear" w:color="auto" w:fill="FFFFFF"/>
        <w:ind w:left="720"/>
        <w:jc w:val="both"/>
        <w:rPr>
          <w:rFonts w:ascii="Times New Roman" w:hAnsi="Times New Roman" w:cs="Times New Roman"/>
          <w:color w:val="0000FF"/>
          <w:sz w:val="22"/>
          <w:szCs w:val="22"/>
          <w:lang w:val="es-ES_tradnl" w:eastAsia="es-ES_tradnl"/>
        </w:rPr>
      </w:pPr>
    </w:p>
    <w:tbl>
      <w:tblPr>
        <w:tblW w:w="598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07"/>
        <w:gridCol w:w="2880"/>
      </w:tblGrid>
      <w:tr w:rsidR="00AA6816" w:rsidRPr="00C8275B" w14:paraId="75C9B890" w14:textId="77777777" w:rsidTr="00FF5F2D">
        <w:trPr>
          <w:trHeight w:val="300"/>
          <w:jc w:val="center"/>
        </w:trPr>
        <w:tc>
          <w:tcPr>
            <w:tcW w:w="3107" w:type="dxa"/>
            <w:tcBorders>
              <w:top w:val="single" w:sz="4" w:space="0" w:color="auto"/>
              <w:bottom w:val="single" w:sz="4" w:space="0" w:color="auto"/>
            </w:tcBorders>
            <w:shd w:val="clear" w:color="auto" w:fill="FFFFFF" w:themeFill="background1"/>
            <w:hideMark/>
          </w:tcPr>
          <w:p w14:paraId="5C2324C7" w14:textId="77777777" w:rsidR="004862F5" w:rsidRPr="00C8275B" w:rsidRDefault="004862F5" w:rsidP="004862F5">
            <w:pPr>
              <w:widowControl/>
              <w:autoSpaceDE/>
              <w:autoSpaceDN/>
              <w:adjustRightInd/>
              <w:jc w:val="both"/>
              <w:rPr>
                <w:rFonts w:ascii="Times New Roman" w:hAnsi="Times New Roman" w:cs="Times New Roman"/>
                <w:sz w:val="18"/>
                <w:szCs w:val="18"/>
              </w:rPr>
            </w:pPr>
            <w:r w:rsidRPr="00C8275B">
              <w:rPr>
                <w:rFonts w:ascii="Times New Roman" w:hAnsi="Times New Roman" w:cs="Times New Roman"/>
                <w:sz w:val="18"/>
                <w:szCs w:val="18"/>
              </w:rPr>
              <w:t> </w:t>
            </w:r>
          </w:p>
        </w:tc>
        <w:tc>
          <w:tcPr>
            <w:tcW w:w="2880" w:type="dxa"/>
            <w:tcBorders>
              <w:top w:val="single" w:sz="4" w:space="0" w:color="auto"/>
              <w:bottom w:val="single" w:sz="4" w:space="0" w:color="auto"/>
            </w:tcBorders>
            <w:shd w:val="clear" w:color="auto" w:fill="FFFFFF" w:themeFill="background1"/>
            <w:vAlign w:val="center"/>
            <w:hideMark/>
          </w:tcPr>
          <w:p w14:paraId="4B46CA3F" w14:textId="77777777" w:rsidR="004862F5" w:rsidRPr="00C8275B" w:rsidRDefault="004862F5" w:rsidP="004862F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Años de vida útil estimada</w:t>
            </w:r>
          </w:p>
        </w:tc>
      </w:tr>
      <w:tr w:rsidR="00AA6816" w:rsidRPr="00C8275B" w14:paraId="50766B45" w14:textId="77777777" w:rsidTr="00FF5F2D">
        <w:trPr>
          <w:trHeight w:hRule="exact" w:val="300"/>
          <w:jc w:val="center"/>
        </w:trPr>
        <w:tc>
          <w:tcPr>
            <w:tcW w:w="3107" w:type="dxa"/>
            <w:tcBorders>
              <w:top w:val="single" w:sz="4" w:space="0" w:color="auto"/>
            </w:tcBorders>
            <w:shd w:val="clear" w:color="000000" w:fill="FFFFFF"/>
            <w:vAlign w:val="center"/>
            <w:hideMark/>
          </w:tcPr>
          <w:p w14:paraId="56BA58CF"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Construcciones</w:t>
            </w:r>
          </w:p>
        </w:tc>
        <w:tc>
          <w:tcPr>
            <w:tcW w:w="2880" w:type="dxa"/>
            <w:tcBorders>
              <w:top w:val="single" w:sz="4" w:space="0" w:color="auto"/>
            </w:tcBorders>
            <w:shd w:val="clear" w:color="000000" w:fill="FFFFFF"/>
            <w:vAlign w:val="center"/>
            <w:hideMark/>
          </w:tcPr>
          <w:p w14:paraId="45EDD7A3" w14:textId="77777777" w:rsidR="004862F5" w:rsidRPr="00C8275B" w:rsidRDefault="00F73520"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100</w:t>
            </w:r>
          </w:p>
        </w:tc>
      </w:tr>
      <w:tr w:rsidR="00AA6816" w:rsidRPr="00C8275B" w14:paraId="744C9ED0" w14:textId="77777777" w:rsidTr="00FF5F2D">
        <w:trPr>
          <w:trHeight w:hRule="exact" w:val="300"/>
          <w:jc w:val="center"/>
        </w:trPr>
        <w:tc>
          <w:tcPr>
            <w:tcW w:w="3107" w:type="dxa"/>
            <w:shd w:val="clear" w:color="000000" w:fill="FFFFFF"/>
            <w:vAlign w:val="center"/>
            <w:hideMark/>
          </w:tcPr>
          <w:p w14:paraId="69FE14D9"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Maquinaria</w:t>
            </w:r>
          </w:p>
        </w:tc>
        <w:tc>
          <w:tcPr>
            <w:tcW w:w="2880" w:type="dxa"/>
            <w:shd w:val="clear" w:color="000000" w:fill="FFFFFF"/>
            <w:vAlign w:val="center"/>
            <w:hideMark/>
          </w:tcPr>
          <w:p w14:paraId="5372C06B"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73520E59" w14:textId="77777777" w:rsidTr="00FF5F2D">
        <w:trPr>
          <w:trHeight w:hRule="exact" w:val="300"/>
          <w:jc w:val="center"/>
        </w:trPr>
        <w:tc>
          <w:tcPr>
            <w:tcW w:w="3107" w:type="dxa"/>
            <w:shd w:val="clear" w:color="000000" w:fill="FFFFFF"/>
            <w:vAlign w:val="center"/>
            <w:hideMark/>
          </w:tcPr>
          <w:p w14:paraId="3A757884"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Otras instalaciones</w:t>
            </w:r>
          </w:p>
        </w:tc>
        <w:tc>
          <w:tcPr>
            <w:tcW w:w="2880" w:type="dxa"/>
            <w:shd w:val="clear" w:color="000000" w:fill="FFFFFF"/>
            <w:vAlign w:val="center"/>
            <w:hideMark/>
          </w:tcPr>
          <w:p w14:paraId="479D299C"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691E5298" w14:textId="77777777" w:rsidTr="00FF5F2D">
        <w:trPr>
          <w:trHeight w:hRule="exact" w:val="300"/>
          <w:jc w:val="center"/>
        </w:trPr>
        <w:tc>
          <w:tcPr>
            <w:tcW w:w="3107" w:type="dxa"/>
            <w:shd w:val="clear" w:color="000000" w:fill="FFFFFF"/>
            <w:vAlign w:val="center"/>
            <w:hideMark/>
          </w:tcPr>
          <w:p w14:paraId="2DFD73E1"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Mobiliario</w:t>
            </w:r>
          </w:p>
        </w:tc>
        <w:tc>
          <w:tcPr>
            <w:tcW w:w="2880" w:type="dxa"/>
            <w:shd w:val="clear" w:color="000000" w:fill="FFFFFF"/>
            <w:vAlign w:val="center"/>
            <w:hideMark/>
          </w:tcPr>
          <w:p w14:paraId="6F5348D7"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58928009" w14:textId="77777777" w:rsidTr="00FF5F2D">
        <w:trPr>
          <w:trHeight w:hRule="exact" w:val="300"/>
          <w:jc w:val="center"/>
        </w:trPr>
        <w:tc>
          <w:tcPr>
            <w:tcW w:w="3107" w:type="dxa"/>
            <w:shd w:val="clear" w:color="000000" w:fill="FFFFFF"/>
            <w:vAlign w:val="center"/>
            <w:hideMark/>
          </w:tcPr>
          <w:p w14:paraId="4B53800A"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Equipos para proceso de información</w:t>
            </w:r>
          </w:p>
        </w:tc>
        <w:tc>
          <w:tcPr>
            <w:tcW w:w="2880" w:type="dxa"/>
            <w:shd w:val="clear" w:color="000000" w:fill="FFFFFF"/>
            <w:vAlign w:val="center"/>
            <w:hideMark/>
          </w:tcPr>
          <w:p w14:paraId="5D63CBE9"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4</w:t>
            </w:r>
          </w:p>
        </w:tc>
      </w:tr>
      <w:tr w:rsidR="00AA6816" w:rsidRPr="00C8275B" w14:paraId="1F4043B2" w14:textId="77777777" w:rsidTr="00FF5F2D">
        <w:trPr>
          <w:trHeight w:hRule="exact" w:val="300"/>
          <w:jc w:val="center"/>
        </w:trPr>
        <w:tc>
          <w:tcPr>
            <w:tcW w:w="3107" w:type="dxa"/>
            <w:shd w:val="clear" w:color="000000" w:fill="FFFFFF"/>
            <w:vAlign w:val="center"/>
            <w:hideMark/>
          </w:tcPr>
          <w:p w14:paraId="0746C3AC"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Elementos de transporte</w:t>
            </w:r>
          </w:p>
        </w:tc>
        <w:tc>
          <w:tcPr>
            <w:tcW w:w="2880" w:type="dxa"/>
            <w:shd w:val="clear" w:color="000000" w:fill="FFFFFF"/>
            <w:vAlign w:val="center"/>
            <w:hideMark/>
          </w:tcPr>
          <w:p w14:paraId="40CD4E43"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r w:rsidR="00AA6816" w:rsidRPr="00C8275B" w14:paraId="5EA81840" w14:textId="77777777" w:rsidTr="00FF5F2D">
        <w:trPr>
          <w:trHeight w:hRule="exact" w:val="300"/>
          <w:jc w:val="center"/>
        </w:trPr>
        <w:tc>
          <w:tcPr>
            <w:tcW w:w="3107" w:type="dxa"/>
            <w:shd w:val="clear" w:color="000000" w:fill="FFFFFF"/>
            <w:vAlign w:val="center"/>
            <w:hideMark/>
          </w:tcPr>
          <w:p w14:paraId="7F71D7F4" w14:textId="77777777" w:rsidR="004862F5" w:rsidRPr="00C8275B" w:rsidRDefault="004862F5" w:rsidP="004862F5">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lang w:val="es-ES_tradnl"/>
              </w:rPr>
              <w:t>Otro inmovilizado material</w:t>
            </w:r>
          </w:p>
        </w:tc>
        <w:tc>
          <w:tcPr>
            <w:tcW w:w="2880" w:type="dxa"/>
            <w:shd w:val="clear" w:color="000000" w:fill="FFFFFF"/>
            <w:vAlign w:val="center"/>
            <w:hideMark/>
          </w:tcPr>
          <w:p w14:paraId="4D76B91B" w14:textId="77777777" w:rsidR="004862F5" w:rsidRPr="00C8275B" w:rsidRDefault="004862F5" w:rsidP="004862F5">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lang w:val="es-ES_tradnl"/>
              </w:rPr>
              <w:t>10</w:t>
            </w:r>
          </w:p>
        </w:tc>
      </w:tr>
    </w:tbl>
    <w:p w14:paraId="71B7281D" w14:textId="77777777" w:rsidR="004862F5" w:rsidRPr="00C8275B" w:rsidRDefault="004862F5" w:rsidP="002523DB">
      <w:pPr>
        <w:shd w:val="clear" w:color="auto" w:fill="FFFFFF"/>
        <w:ind w:left="720"/>
        <w:jc w:val="both"/>
        <w:rPr>
          <w:rFonts w:ascii="Times New Roman" w:hAnsi="Times New Roman" w:cs="Times New Roman"/>
          <w:sz w:val="22"/>
          <w:szCs w:val="22"/>
          <w:lang w:val="es-ES_tradnl" w:eastAsia="es-ES_tradnl"/>
        </w:rPr>
      </w:pPr>
    </w:p>
    <w:p w14:paraId="1A8ACAB6" w14:textId="77777777" w:rsidR="004862F5" w:rsidRPr="00C8275B" w:rsidRDefault="004862F5" w:rsidP="002523DB">
      <w:pPr>
        <w:shd w:val="clear" w:color="auto" w:fill="FFFFFF"/>
        <w:ind w:left="720" w:right="28"/>
        <w:jc w:val="both"/>
        <w:rPr>
          <w:rFonts w:ascii="Times New Roman" w:hAnsi="Times New Roman" w:cs="Times New Roman"/>
          <w:color w:val="0000FF"/>
          <w:spacing w:val="-3"/>
          <w:sz w:val="22"/>
          <w:szCs w:val="22"/>
          <w:lang w:val="es-ES_tradnl" w:eastAsia="es-ES_tradnl"/>
        </w:rPr>
      </w:pPr>
    </w:p>
    <w:p w14:paraId="598F6A6D" w14:textId="77777777" w:rsidR="006C0067" w:rsidRPr="00C8275B"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valores residuales y las vidas útiles de los distintos elementos se revisan, ajustándolos, </w:t>
      </w:r>
      <w:r w:rsidRPr="00C8275B">
        <w:rPr>
          <w:rFonts w:ascii="Times New Roman" w:hAnsi="Times New Roman" w:cs="Times New Roman"/>
          <w:sz w:val="22"/>
          <w:szCs w:val="22"/>
          <w:lang w:val="es-ES_tradnl" w:eastAsia="es-ES_tradnl"/>
        </w:rPr>
        <w:t xml:space="preserve">en su caso, en la fecha de cada balance. </w:t>
      </w:r>
    </w:p>
    <w:p w14:paraId="6DF2CE48" w14:textId="77777777" w:rsidR="001A6B48" w:rsidRPr="00C8275B" w:rsidRDefault="001A6B48" w:rsidP="002523DB">
      <w:pPr>
        <w:shd w:val="clear" w:color="auto" w:fill="FFFFFF"/>
        <w:ind w:left="720" w:right="28"/>
        <w:jc w:val="both"/>
        <w:rPr>
          <w:rFonts w:ascii="Times New Roman" w:hAnsi="Times New Roman" w:cs="Times New Roman"/>
          <w:sz w:val="22"/>
          <w:szCs w:val="22"/>
          <w:lang w:val="es-ES_tradnl" w:eastAsia="es-ES_tradnl"/>
        </w:rPr>
      </w:pPr>
    </w:p>
    <w:p w14:paraId="16E09592" w14:textId="77777777" w:rsidR="0060635D" w:rsidRPr="00C8275B" w:rsidRDefault="006C0067" w:rsidP="002523DB">
      <w:pPr>
        <w:shd w:val="clear" w:color="auto" w:fill="FFFFFF"/>
        <w:ind w:left="720" w:right="28"/>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En la fecha de cierre de cada ejercicio la Sociedad evalúa la existencia de indicios de </w:t>
      </w:r>
      <w:r w:rsidRPr="00C8275B">
        <w:rPr>
          <w:rFonts w:ascii="Times New Roman" w:hAnsi="Times New Roman" w:cs="Times New Roman"/>
          <w:spacing w:val="-3"/>
          <w:sz w:val="22"/>
          <w:szCs w:val="22"/>
          <w:lang w:val="es-ES_tradnl" w:eastAsia="es-ES_tradnl"/>
        </w:rPr>
        <w:t xml:space="preserve">deterioro de cada elemento del inmovilizado material. De existir estos indicios, se compara el valor </w:t>
      </w:r>
      <w:r w:rsidRPr="00C8275B">
        <w:rPr>
          <w:rFonts w:ascii="Times New Roman" w:hAnsi="Times New Roman" w:cs="Times New Roman"/>
          <w:spacing w:val="-1"/>
          <w:sz w:val="22"/>
          <w:szCs w:val="22"/>
          <w:lang w:val="es-ES_tradnl" w:eastAsia="es-ES_tradnl"/>
        </w:rPr>
        <w:t xml:space="preserve">en libros de cada uno de los elementos del inmovilizado con su valor recuperable, siendo este el </w:t>
      </w:r>
      <w:r w:rsidRPr="00C8275B">
        <w:rPr>
          <w:rFonts w:ascii="Times New Roman" w:hAnsi="Times New Roman" w:cs="Times New Roman"/>
          <w:sz w:val="22"/>
          <w:szCs w:val="22"/>
          <w:lang w:val="es-ES_tradnl" w:eastAsia="es-ES_tradnl"/>
        </w:rPr>
        <w:t>mayor entre su valor razonable menos el coste de venta y el valor en uso.</w:t>
      </w:r>
    </w:p>
    <w:p w14:paraId="40D6CDCB" w14:textId="77777777" w:rsidR="006C0067" w:rsidRPr="00C8275B" w:rsidRDefault="006C0067" w:rsidP="00E60B2C">
      <w:pPr>
        <w:shd w:val="clear" w:color="auto" w:fill="FFFFFF"/>
        <w:spacing w:before="234"/>
        <w:ind w:left="720" w:right="32"/>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En el supuesto de que el valor recuperable sea inferior al valor en libro, se reduce su valor en libros hasta alcanzar el valor recuperable, registrándose una pérdida por deterioro de valor.</w:t>
      </w:r>
    </w:p>
    <w:p w14:paraId="0BA1B0BA" w14:textId="77777777" w:rsidR="006C0067" w:rsidRPr="00C8275B" w:rsidRDefault="006C0067" w:rsidP="0060635D">
      <w:pPr>
        <w:shd w:val="clear" w:color="auto" w:fill="FFFFFF"/>
        <w:spacing w:before="223"/>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En el supuesto de que se revierta la pérdida por deterioro, el establecimiento de los valores </w:t>
      </w:r>
      <w:r w:rsidRPr="00C8275B">
        <w:rPr>
          <w:rFonts w:ascii="Times New Roman" w:hAnsi="Times New Roman" w:cs="Times New Roman"/>
          <w:spacing w:val="-1"/>
          <w:sz w:val="22"/>
          <w:szCs w:val="22"/>
          <w:lang w:val="es-ES_tradnl" w:eastAsia="es-ES_tradnl"/>
        </w:rPr>
        <w:t xml:space="preserve">no superará el valor en libros que habría tenido los elementos del inmovilizado de no haberse </w:t>
      </w:r>
      <w:r w:rsidRPr="00C8275B">
        <w:rPr>
          <w:rFonts w:ascii="Times New Roman" w:hAnsi="Times New Roman" w:cs="Times New Roman"/>
          <w:sz w:val="22"/>
          <w:szCs w:val="22"/>
          <w:lang w:val="es-ES_tradnl" w:eastAsia="es-ES_tradnl"/>
        </w:rPr>
        <w:t>reconocido la pérdida por deterioro.</w:t>
      </w:r>
    </w:p>
    <w:p w14:paraId="55058A17" w14:textId="77777777" w:rsidR="009344BE" w:rsidRPr="00C8275B" w:rsidRDefault="009344BE" w:rsidP="00E60B2C">
      <w:pPr>
        <w:shd w:val="clear" w:color="auto" w:fill="FFFFFF"/>
        <w:spacing w:before="223"/>
        <w:ind w:left="720" w:right="29"/>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t>Cesión de bienes de dominio público</w:t>
      </w:r>
    </w:p>
    <w:p w14:paraId="508F68E0" w14:textId="77777777" w:rsidR="006C0067" w:rsidRPr="00C8275B"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w:t>
      </w:r>
      <w:r w:rsidR="009344BE" w:rsidRPr="00C8275B">
        <w:rPr>
          <w:rFonts w:ascii="Times New Roman" w:hAnsi="Times New Roman" w:cs="Times New Roman"/>
          <w:spacing w:val="-3"/>
          <w:sz w:val="22"/>
          <w:szCs w:val="22"/>
          <w:lang w:val="es-ES_tradnl" w:eastAsia="es-ES_tradnl"/>
        </w:rPr>
        <w:t>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r w:rsidR="0062767F" w:rsidRPr="00C8275B">
        <w:rPr>
          <w:rFonts w:ascii="Times New Roman" w:hAnsi="Times New Roman" w:cs="Times New Roman"/>
          <w:spacing w:val="-3"/>
          <w:sz w:val="22"/>
          <w:szCs w:val="22"/>
          <w:lang w:val="es-ES_tradnl" w:eastAsia="es-ES_tradnl"/>
        </w:rPr>
        <w:t>.</w:t>
      </w:r>
    </w:p>
    <w:p w14:paraId="28B72F05" w14:textId="77777777" w:rsidR="0062767F" w:rsidRPr="00C8275B" w:rsidRDefault="0062767F"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w:t>
      </w:r>
      <w:r w:rsidR="00B459B2"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en su caso, un inmovilizado material.</w:t>
      </w:r>
    </w:p>
    <w:p w14:paraId="16939DE6" w14:textId="77777777" w:rsidR="006C0067" w:rsidRPr="00C8275B" w:rsidRDefault="006C0067" w:rsidP="00E60B2C">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derechos sobre dichos activos cedidos en uso inicialmente a la sociedad, lo fueron por el valor de aseguramiento en el momento de cesión de dichos activos. </w:t>
      </w:r>
    </w:p>
    <w:p w14:paraId="381D342E" w14:textId="77777777" w:rsidR="006C0067" w:rsidRPr="00C8275B" w:rsidRDefault="006C0067" w:rsidP="000E24D4">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amortización de estos derechos se realiza atendiendo a la naturaleza de los activos cedidos, aplicando linealmente unos coeficientes anuales en función de la vida útil esperada. </w:t>
      </w:r>
    </w:p>
    <w:p w14:paraId="5367A852" w14:textId="77777777" w:rsidR="006C0067" w:rsidRPr="00C8275B" w:rsidRDefault="005461DE" w:rsidP="000E24D4">
      <w:pPr>
        <w:shd w:val="clear" w:color="auto" w:fill="FFFFFF"/>
        <w:spacing w:before="432"/>
        <w:ind w:firstLine="709"/>
        <w:jc w:val="both"/>
        <w:rPr>
          <w:rFonts w:ascii="Times New Roman" w:hAnsi="Times New Roman" w:cs="Times New Roman"/>
          <w:sz w:val="22"/>
          <w:szCs w:val="22"/>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.3. Activos financieros:</w:t>
      </w:r>
    </w:p>
    <w:p w14:paraId="4AB122F0" w14:textId="77777777" w:rsidR="0060635D" w:rsidRPr="00C8275B" w:rsidRDefault="006C0067" w:rsidP="000E24D4">
      <w:pPr>
        <w:shd w:val="clear" w:color="auto" w:fill="FFFFFF"/>
        <w:spacing w:before="328"/>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activos financieros que posee la Sociedad se </w:t>
      </w:r>
      <w:proofErr w:type="gramStart"/>
      <w:r w:rsidRPr="00C8275B">
        <w:rPr>
          <w:rFonts w:ascii="Times New Roman" w:hAnsi="Times New Roman" w:cs="Times New Roman"/>
          <w:spacing w:val="-3"/>
          <w:sz w:val="22"/>
          <w:szCs w:val="22"/>
          <w:lang w:val="es-ES_tradnl" w:eastAsia="es-ES_tradnl"/>
        </w:rPr>
        <w:t>clasifica</w:t>
      </w:r>
      <w:proofErr w:type="gramEnd"/>
      <w:r w:rsidRPr="00C8275B">
        <w:rPr>
          <w:rFonts w:ascii="Times New Roman" w:hAnsi="Times New Roman" w:cs="Times New Roman"/>
          <w:spacing w:val="-3"/>
          <w:sz w:val="22"/>
          <w:szCs w:val="22"/>
          <w:lang w:val="es-ES_tradnl" w:eastAsia="es-ES_tradnl"/>
        </w:rPr>
        <w:t xml:space="preserve"> en la siguiente categoría:</w:t>
      </w:r>
    </w:p>
    <w:p w14:paraId="48F15B08" w14:textId="77777777" w:rsidR="004A0638" w:rsidRDefault="004A0638" w:rsidP="00E60B2C">
      <w:pPr>
        <w:shd w:val="clear" w:color="auto" w:fill="FFFFFF"/>
        <w:spacing w:before="209"/>
        <w:ind w:firstLine="708"/>
        <w:jc w:val="both"/>
        <w:rPr>
          <w:rFonts w:ascii="Times New Roman" w:hAnsi="Times New Roman" w:cs="Times New Roman"/>
          <w:b/>
          <w:bCs/>
          <w:spacing w:val="-2"/>
          <w:sz w:val="22"/>
          <w:szCs w:val="22"/>
          <w:lang w:val="es-ES_tradnl" w:eastAsia="es-ES_tradnl"/>
        </w:rPr>
      </w:pPr>
    </w:p>
    <w:p w14:paraId="0896202A" w14:textId="10452D8E" w:rsidR="006C0067" w:rsidRPr="00C8275B" w:rsidRDefault="006C0067" w:rsidP="00E60B2C">
      <w:pPr>
        <w:shd w:val="clear" w:color="auto" w:fill="FFFFFF"/>
        <w:spacing w:before="209"/>
        <w:ind w:firstLine="708"/>
        <w:jc w:val="both"/>
        <w:rPr>
          <w:rFonts w:ascii="Times New Roman" w:hAnsi="Times New Roman" w:cs="Times New Roman"/>
          <w:sz w:val="22"/>
          <w:szCs w:val="22"/>
        </w:rPr>
      </w:pPr>
      <w:r w:rsidRPr="00C8275B">
        <w:rPr>
          <w:rFonts w:ascii="Times New Roman" w:hAnsi="Times New Roman" w:cs="Times New Roman"/>
          <w:b/>
          <w:bCs/>
          <w:spacing w:val="-2"/>
          <w:sz w:val="22"/>
          <w:szCs w:val="22"/>
          <w:lang w:val="es-ES_tradnl" w:eastAsia="es-ES_tradnl"/>
        </w:rPr>
        <w:lastRenderedPageBreak/>
        <w:t>Activos financieros a coste amortizado</w:t>
      </w:r>
    </w:p>
    <w:p w14:paraId="025CAFF9" w14:textId="77777777" w:rsidR="006C0067" w:rsidRPr="00C8275B" w:rsidRDefault="006C0067" w:rsidP="00E60B2C">
      <w:pPr>
        <w:shd w:val="clear" w:color="auto" w:fill="FFFFFF"/>
        <w:spacing w:before="212"/>
        <w:ind w:left="720" w:right="2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esta categoría se han incluido los activos que se han originado en la venta de bienes y </w:t>
      </w:r>
      <w:r w:rsidRPr="00C8275B">
        <w:rPr>
          <w:rFonts w:ascii="Times New Roman" w:hAnsi="Times New Roman" w:cs="Times New Roman"/>
          <w:spacing w:val="-3"/>
          <w:sz w:val="22"/>
          <w:szCs w:val="22"/>
          <w:lang w:val="es-ES_tradnl" w:eastAsia="es-ES_tradnl"/>
        </w:rPr>
        <w:t xml:space="preserve">prestación de servicios por operaciones de tráfico de la empresa. También se han incluido aquellos </w:t>
      </w:r>
      <w:r w:rsidRPr="00C8275B">
        <w:rPr>
          <w:rFonts w:ascii="Times New Roman" w:hAnsi="Times New Roman" w:cs="Times New Roman"/>
          <w:sz w:val="22"/>
          <w:szCs w:val="22"/>
          <w:lang w:val="es-ES_tradnl" w:eastAsia="es-ES_tradnl"/>
        </w:rPr>
        <w:t xml:space="preserve">activos financieros </w:t>
      </w:r>
      <w:proofErr w:type="gramStart"/>
      <w:r w:rsidRPr="00C8275B">
        <w:rPr>
          <w:rFonts w:ascii="Times New Roman" w:hAnsi="Times New Roman" w:cs="Times New Roman"/>
          <w:sz w:val="22"/>
          <w:szCs w:val="22"/>
          <w:lang w:val="es-ES_tradnl" w:eastAsia="es-ES_tradnl"/>
        </w:rPr>
        <w:t>que</w:t>
      </w:r>
      <w:proofErr w:type="gramEnd"/>
      <w:r w:rsidRPr="00C8275B">
        <w:rPr>
          <w:rFonts w:ascii="Times New Roman" w:hAnsi="Times New Roman" w:cs="Times New Roman"/>
          <w:sz w:val="22"/>
          <w:szCs w:val="22"/>
          <w:lang w:val="es-ES_tradnl" w:eastAsia="es-ES_tradnl"/>
        </w:rPr>
        <w:t xml:space="preserve"> no siendo instrumentos de patrimonio ni derivados, no tienen origen </w:t>
      </w:r>
      <w:r w:rsidRPr="00C8275B">
        <w:rPr>
          <w:rFonts w:ascii="Times New Roman" w:hAnsi="Times New Roman" w:cs="Times New Roman"/>
          <w:spacing w:val="-2"/>
          <w:sz w:val="22"/>
          <w:szCs w:val="22"/>
          <w:lang w:val="es-ES_tradnl" w:eastAsia="es-ES_tradnl"/>
        </w:rPr>
        <w:t xml:space="preserve">comercial y cuyos cobros son de cuantía determinada o determinable, es decir, comprende a los </w:t>
      </w:r>
      <w:r w:rsidRPr="00C8275B">
        <w:rPr>
          <w:rFonts w:ascii="Times New Roman" w:hAnsi="Times New Roman" w:cs="Times New Roman"/>
          <w:spacing w:val="-3"/>
          <w:sz w:val="22"/>
          <w:szCs w:val="22"/>
          <w:lang w:val="es-ES_tradnl" w:eastAsia="es-ES_tradnl"/>
        </w:rPr>
        <w:t xml:space="preserve">créditos distintos del tráfico comercial, los valores representativos de deuda adquiridos, cotizados o </w:t>
      </w:r>
      <w:r w:rsidRPr="00C8275B">
        <w:rPr>
          <w:rFonts w:ascii="Times New Roman" w:hAnsi="Times New Roman" w:cs="Times New Roman"/>
          <w:spacing w:val="-2"/>
          <w:sz w:val="22"/>
          <w:szCs w:val="22"/>
          <w:lang w:val="es-ES_tradnl" w:eastAsia="es-ES_tradnl"/>
        </w:rPr>
        <w:t xml:space="preserve">no, los depósitos en entidades de crédito, anticipos y créditos al personal, las fianzas y depósitos </w:t>
      </w:r>
      <w:r w:rsidRPr="00C8275B">
        <w:rPr>
          <w:rFonts w:ascii="Times New Roman" w:hAnsi="Times New Roman" w:cs="Times New Roman"/>
          <w:sz w:val="22"/>
          <w:szCs w:val="22"/>
          <w:lang w:val="es-ES_tradnl" w:eastAsia="es-ES_tradnl"/>
        </w:rPr>
        <w:t>constituidos.</w:t>
      </w:r>
    </w:p>
    <w:p w14:paraId="38D78639" w14:textId="77777777" w:rsidR="006C0067" w:rsidRPr="00C8275B"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 xml:space="preserve">Valoración inicial: </w:t>
      </w:r>
    </w:p>
    <w:p w14:paraId="3F451D57" w14:textId="77777777" w:rsidR="006C0067" w:rsidRPr="00C8275B" w:rsidRDefault="006C0067" w:rsidP="006C0067">
      <w:pPr>
        <w:shd w:val="clear" w:color="auto" w:fill="FFFFFF"/>
        <w:ind w:left="720" w:firstLine="720"/>
        <w:jc w:val="both"/>
        <w:rPr>
          <w:rFonts w:ascii="Times New Roman" w:hAnsi="Times New Roman" w:cs="Times New Roman"/>
          <w:sz w:val="22"/>
          <w:szCs w:val="22"/>
        </w:rPr>
      </w:pPr>
    </w:p>
    <w:p w14:paraId="59835AE9" w14:textId="77777777" w:rsidR="006C0067" w:rsidRPr="00C8275B" w:rsidRDefault="006C0067" w:rsidP="00E60B2C">
      <w:pPr>
        <w:shd w:val="clear" w:color="auto" w:fill="FFFFFF"/>
        <w:ind w:left="720" w:right="14"/>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Se han valorado inicialmente por su coste que equivaldría al valor razonable de la </w:t>
      </w:r>
      <w:r w:rsidRPr="00C8275B">
        <w:rPr>
          <w:rFonts w:ascii="Times New Roman" w:hAnsi="Times New Roman" w:cs="Times New Roman"/>
          <w:spacing w:val="-3"/>
          <w:sz w:val="22"/>
          <w:szCs w:val="22"/>
          <w:lang w:val="es-ES_tradnl" w:eastAsia="es-ES_tradnl"/>
        </w:rPr>
        <w:t>contraprestación entregada más los costes de transacción que les son directamente atribuibles.</w:t>
      </w:r>
    </w:p>
    <w:p w14:paraId="1F43815A" w14:textId="77777777" w:rsidR="006C0067" w:rsidRPr="00C8275B" w:rsidRDefault="006C0067" w:rsidP="00E60B2C">
      <w:pPr>
        <w:shd w:val="clear" w:color="auto" w:fill="FFFFFF"/>
        <w:spacing w:before="245"/>
        <w:ind w:left="720" w:right="14"/>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 xml:space="preserve">No obstante, lo señalado en el párrafo anterior, los créditos por operaciones comerciales </w:t>
      </w:r>
      <w:r w:rsidRPr="00C8275B">
        <w:rPr>
          <w:rFonts w:ascii="Times New Roman" w:hAnsi="Times New Roman" w:cs="Times New Roman"/>
          <w:spacing w:val="-2"/>
          <w:sz w:val="22"/>
          <w:szCs w:val="22"/>
          <w:lang w:val="es-ES_tradnl" w:eastAsia="es-ES_tradnl"/>
        </w:rPr>
        <w:t xml:space="preserve">con vencimiento no superior a un año y que no tengan un tipo de interés contractual, así como los </w:t>
      </w:r>
      <w:r w:rsidRPr="00C8275B">
        <w:rPr>
          <w:rFonts w:ascii="Times New Roman" w:hAnsi="Times New Roman" w:cs="Times New Roman"/>
          <w:spacing w:val="-1"/>
          <w:sz w:val="22"/>
          <w:szCs w:val="22"/>
          <w:lang w:val="es-ES_tradnl" w:eastAsia="es-ES_tradnl"/>
        </w:rPr>
        <w:t xml:space="preserve">anticipos y créditos al personal, las fianzas, los dividendos a cobrar y los desembolsos exigidos </w:t>
      </w:r>
      <w:r w:rsidRPr="00C8275B">
        <w:rPr>
          <w:rFonts w:ascii="Times New Roman" w:hAnsi="Times New Roman" w:cs="Times New Roman"/>
          <w:spacing w:val="-3"/>
          <w:sz w:val="22"/>
          <w:szCs w:val="22"/>
          <w:lang w:val="es-ES_tradnl" w:eastAsia="es-ES_tradnl"/>
        </w:rPr>
        <w:t xml:space="preserve">sobre instrumentos de patrimonio, cuyo importe se espera recibir en el corto plazo, se han valorado por su valor nominal cuando </w:t>
      </w:r>
      <w:proofErr w:type="gramStart"/>
      <w:r w:rsidRPr="00C8275B">
        <w:rPr>
          <w:rFonts w:ascii="Times New Roman" w:hAnsi="Times New Roman" w:cs="Times New Roman"/>
          <w:spacing w:val="-3"/>
          <w:sz w:val="22"/>
          <w:szCs w:val="22"/>
          <w:lang w:val="es-ES_tradnl" w:eastAsia="es-ES_tradnl"/>
        </w:rPr>
        <w:t>el efecto de no actualizar los flujos de efectivo no son</w:t>
      </w:r>
      <w:proofErr w:type="gramEnd"/>
      <w:r w:rsidRPr="00C8275B">
        <w:rPr>
          <w:rFonts w:ascii="Times New Roman" w:hAnsi="Times New Roman" w:cs="Times New Roman"/>
          <w:spacing w:val="-3"/>
          <w:sz w:val="22"/>
          <w:szCs w:val="22"/>
          <w:lang w:val="es-ES_tradnl" w:eastAsia="es-ES_tradnl"/>
        </w:rPr>
        <w:t xml:space="preserve"> significativo.</w:t>
      </w:r>
    </w:p>
    <w:p w14:paraId="7BC611F7" w14:textId="77777777" w:rsidR="006C0067" w:rsidRPr="00C8275B" w:rsidRDefault="006C0067" w:rsidP="00E60B2C">
      <w:pPr>
        <w:shd w:val="clear" w:color="auto" w:fill="FFFFFF"/>
        <w:spacing w:before="36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 xml:space="preserve">Valoración posterior:  </w:t>
      </w:r>
    </w:p>
    <w:p w14:paraId="78AC1A60" w14:textId="77777777" w:rsidR="006C0067" w:rsidRPr="00C8275B" w:rsidRDefault="006C0067" w:rsidP="006C0067">
      <w:pPr>
        <w:shd w:val="clear" w:color="auto" w:fill="FFFFFF"/>
        <w:ind w:left="720" w:firstLine="720"/>
        <w:jc w:val="both"/>
        <w:rPr>
          <w:rFonts w:ascii="Times New Roman" w:hAnsi="Times New Roman" w:cs="Times New Roman"/>
          <w:spacing w:val="-3"/>
          <w:sz w:val="22"/>
          <w:szCs w:val="22"/>
          <w:lang w:val="es-ES_tradnl" w:eastAsia="es-ES_tradnl"/>
        </w:rPr>
      </w:pPr>
    </w:p>
    <w:p w14:paraId="7D7CD992" w14:textId="77777777" w:rsidR="006C0067" w:rsidRPr="00C8275B"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Se han valorado por su coste amortizado. Los intereses devengados se contabilizan en la </w:t>
      </w:r>
      <w:r w:rsidRPr="00C8275B">
        <w:rPr>
          <w:rFonts w:ascii="Times New Roman" w:hAnsi="Times New Roman" w:cs="Times New Roman"/>
          <w:spacing w:val="-3"/>
          <w:sz w:val="22"/>
          <w:szCs w:val="22"/>
          <w:lang w:val="es-ES_tradnl" w:eastAsia="es-ES_tradnl"/>
        </w:rPr>
        <w:t>cuenta de pérdidas y ganancias, aplicando el método del tipo de interés efectivo.</w:t>
      </w:r>
    </w:p>
    <w:p w14:paraId="39B3AA41" w14:textId="77777777" w:rsidR="000E24D4" w:rsidRPr="00C8275B" w:rsidRDefault="006C0067" w:rsidP="00717FE8">
      <w:pPr>
        <w:shd w:val="clear" w:color="auto" w:fill="FFFFFF"/>
        <w:spacing w:before="241"/>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No </w:t>
      </w:r>
      <w:proofErr w:type="gramStart"/>
      <w:r w:rsidRPr="00C8275B">
        <w:rPr>
          <w:rFonts w:ascii="Times New Roman" w:hAnsi="Times New Roman" w:cs="Times New Roman"/>
          <w:spacing w:val="-2"/>
          <w:sz w:val="22"/>
          <w:szCs w:val="22"/>
          <w:lang w:val="es-ES_tradnl" w:eastAsia="es-ES_tradnl"/>
        </w:rPr>
        <w:t>obstante</w:t>
      </w:r>
      <w:proofErr w:type="gramEnd"/>
      <w:r w:rsidRPr="00C8275B">
        <w:rPr>
          <w:rFonts w:ascii="Times New Roman" w:hAnsi="Times New Roman" w:cs="Times New Roman"/>
          <w:spacing w:val="-2"/>
          <w:sz w:val="22"/>
          <w:szCs w:val="22"/>
          <w:lang w:val="es-ES_tradnl" w:eastAsia="es-ES_tradnl"/>
        </w:rPr>
        <w:t xml:space="preserve"> lo anterior, los activos con vencimiento no superior a un año que, de acuerdo con lo dispuesto en el apartado anterior, se valoren inicialmente por su valor nominal, continúan </w:t>
      </w:r>
      <w:r w:rsidRPr="00C8275B">
        <w:rPr>
          <w:rFonts w:ascii="Times New Roman" w:hAnsi="Times New Roman" w:cs="Times New Roman"/>
          <w:sz w:val="22"/>
          <w:szCs w:val="22"/>
          <w:lang w:val="es-ES_tradnl" w:eastAsia="es-ES_tradnl"/>
        </w:rPr>
        <w:t>valorándose por dicho importe, salvo que se hubieran deteriorado.</w:t>
      </w:r>
    </w:p>
    <w:p w14:paraId="3C974EF6" w14:textId="77777777" w:rsidR="006C0067" w:rsidRPr="00C8275B" w:rsidRDefault="006C0067" w:rsidP="00E60B2C">
      <w:pPr>
        <w:shd w:val="clear" w:color="auto" w:fill="FFFFFF"/>
        <w:spacing w:before="240"/>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Correcciones valorativas por deterioro:</w:t>
      </w:r>
    </w:p>
    <w:p w14:paraId="13BD1AEC" w14:textId="77777777" w:rsidR="006C0067" w:rsidRPr="00C8275B" w:rsidRDefault="006C0067" w:rsidP="0060635D">
      <w:pPr>
        <w:shd w:val="clear" w:color="auto" w:fill="FFFFFF"/>
        <w:spacing w:before="240"/>
        <w:ind w:left="720"/>
        <w:jc w:val="both"/>
        <w:rPr>
          <w:rFonts w:ascii="Times New Roman" w:hAnsi="Times New Roman" w:cs="Times New Roman"/>
          <w:sz w:val="22"/>
          <w:szCs w:val="22"/>
        </w:rPr>
      </w:pPr>
      <w:r w:rsidRPr="00C8275B">
        <w:rPr>
          <w:rFonts w:ascii="Times New Roman" w:hAnsi="Times New Roman" w:cs="Times New Roman"/>
          <w:spacing w:val="-1"/>
          <w:sz w:val="22"/>
          <w:szCs w:val="22"/>
          <w:lang w:val="es-ES_tradnl" w:eastAsia="es-ES_tradnl"/>
        </w:rPr>
        <w:t xml:space="preserve">Al cierre del ejercicio, se han efectuado las correcciones valorativas necesarias por la </w:t>
      </w:r>
      <w:r w:rsidRPr="00C8275B">
        <w:rPr>
          <w:rFonts w:ascii="Times New Roman" w:hAnsi="Times New Roman" w:cs="Times New Roman"/>
          <w:spacing w:val="-2"/>
          <w:sz w:val="22"/>
          <w:szCs w:val="22"/>
          <w:lang w:val="es-ES_tradnl" w:eastAsia="es-ES_tradnl"/>
        </w:rPr>
        <w:t xml:space="preserve">existencia de evidencia objetiva de que el valor de una activo financiero o de un grupo de activos </w:t>
      </w:r>
      <w:r w:rsidRPr="00C8275B">
        <w:rPr>
          <w:rFonts w:ascii="Times New Roman" w:hAnsi="Times New Roman" w:cs="Times New Roman"/>
          <w:sz w:val="22"/>
          <w:szCs w:val="22"/>
          <w:lang w:val="es-ES_tradnl" w:eastAsia="es-ES_tradnl"/>
        </w:rPr>
        <w:t xml:space="preserve">financieros con similares características de riesgo valorados colectivamente, se ha deteriorado </w:t>
      </w:r>
      <w:r w:rsidRPr="00C8275B">
        <w:rPr>
          <w:rFonts w:ascii="Times New Roman" w:hAnsi="Times New Roman" w:cs="Times New Roman"/>
          <w:spacing w:val="-1"/>
          <w:sz w:val="22"/>
          <w:szCs w:val="22"/>
          <w:lang w:val="es-ES_tradnl" w:eastAsia="es-ES_tradnl"/>
        </w:rPr>
        <w:t xml:space="preserve">como resultado de uno o más eventos que hayan ocurrido después de su reconocimiento inicial y </w:t>
      </w:r>
      <w:r w:rsidRPr="00C8275B">
        <w:rPr>
          <w:rFonts w:ascii="Times New Roman" w:hAnsi="Times New Roman" w:cs="Times New Roman"/>
          <w:spacing w:val="-3"/>
          <w:sz w:val="22"/>
          <w:szCs w:val="22"/>
          <w:lang w:val="es-ES_tradnl" w:eastAsia="es-ES_tradnl"/>
        </w:rPr>
        <w:t xml:space="preserve">que ocasionen una reducción o retraso en los flujos de efectivo estimados futuros, que pueden venir </w:t>
      </w:r>
      <w:r w:rsidRPr="00C8275B">
        <w:rPr>
          <w:rFonts w:ascii="Times New Roman" w:hAnsi="Times New Roman" w:cs="Times New Roman"/>
          <w:sz w:val="22"/>
          <w:szCs w:val="22"/>
          <w:lang w:val="es-ES_tradnl" w:eastAsia="es-ES_tradnl"/>
        </w:rPr>
        <w:t>motivados por la insolvencia del deudor.</w:t>
      </w:r>
      <w:r w:rsidRPr="00C8275B">
        <w:rPr>
          <w:rFonts w:ascii="Times New Roman" w:hAnsi="Times New Roman" w:cs="Times New Roman"/>
          <w:sz w:val="22"/>
          <w:szCs w:val="22"/>
        </w:rPr>
        <w:tab/>
      </w:r>
    </w:p>
    <w:p w14:paraId="58BE8442" w14:textId="77777777" w:rsidR="006C0067" w:rsidRPr="00C8275B" w:rsidRDefault="006C0067" w:rsidP="006C0067">
      <w:pPr>
        <w:shd w:val="clear" w:color="auto" w:fill="FFFFFF"/>
        <w:ind w:left="1274" w:firstLine="720"/>
        <w:jc w:val="both"/>
        <w:rPr>
          <w:rFonts w:ascii="Times New Roman" w:hAnsi="Times New Roman" w:cs="Times New Roman"/>
          <w:sz w:val="22"/>
          <w:szCs w:val="22"/>
        </w:rPr>
      </w:pPr>
    </w:p>
    <w:p w14:paraId="1FE4BE7B" w14:textId="04ED498F" w:rsidR="006C0067" w:rsidRPr="00C8275B" w:rsidRDefault="006C0067" w:rsidP="00E60B2C">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pérdida por deterioro del valor de estos activos financieros será la diferencia entre su valor en libros y el valor actual de los flujos de efectivo futuros que se estima van a generar, </w:t>
      </w:r>
      <w:r w:rsidRPr="00C8275B">
        <w:rPr>
          <w:rFonts w:ascii="Times New Roman" w:hAnsi="Times New Roman" w:cs="Times New Roman"/>
          <w:spacing w:val="-2"/>
          <w:sz w:val="22"/>
          <w:szCs w:val="22"/>
          <w:lang w:val="es-ES_tradnl" w:eastAsia="es-ES_tradnl"/>
        </w:rPr>
        <w:t xml:space="preserve">descontados al tipo de interés efectivo calculado en el momento de su reconocimiento inicial. Para </w:t>
      </w:r>
      <w:r w:rsidRPr="00C8275B">
        <w:rPr>
          <w:rFonts w:ascii="Times New Roman" w:hAnsi="Times New Roman" w:cs="Times New Roman"/>
          <w:sz w:val="22"/>
          <w:szCs w:val="22"/>
          <w:lang w:val="es-ES_tradnl" w:eastAsia="es-ES_tradnl"/>
        </w:rPr>
        <w:t xml:space="preserve">los activos financieros a tipo de interés variable, se empleará el tipo de interés efectivo que corresponda a la fecha de cierre de las cuentas anuales de acuerdo con las condiciones </w:t>
      </w:r>
      <w:r w:rsidRPr="00C8275B">
        <w:rPr>
          <w:rFonts w:ascii="Times New Roman" w:hAnsi="Times New Roman" w:cs="Times New Roman"/>
          <w:spacing w:val="-1"/>
          <w:sz w:val="22"/>
          <w:szCs w:val="22"/>
          <w:lang w:val="es-ES_tradnl" w:eastAsia="es-ES_tradnl"/>
        </w:rPr>
        <w:t xml:space="preserve">contractuales. En el cálculo de las pérdidas por deterioro de un grupo de activos financieros se </w:t>
      </w:r>
      <w:r w:rsidRPr="00C8275B">
        <w:rPr>
          <w:rFonts w:ascii="Times New Roman" w:hAnsi="Times New Roman" w:cs="Times New Roman"/>
          <w:sz w:val="22"/>
          <w:szCs w:val="22"/>
          <w:lang w:val="es-ES_tradnl" w:eastAsia="es-ES_tradnl"/>
        </w:rPr>
        <w:t>podrán utilizar modelos basados en fórmulas o métodos estadísticos.</w:t>
      </w:r>
    </w:p>
    <w:p w14:paraId="256C3ABE" w14:textId="77777777" w:rsidR="006C0067" w:rsidRPr="00C8275B" w:rsidRDefault="006C0067" w:rsidP="00E60B2C">
      <w:pPr>
        <w:shd w:val="clear" w:color="auto" w:fill="FFFFFF"/>
        <w:spacing w:before="227"/>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En su caso, como sustituto del valor actual de los flujos de efectivo futuros se utilizará el </w:t>
      </w:r>
      <w:r w:rsidRPr="00C8275B">
        <w:rPr>
          <w:rFonts w:ascii="Times New Roman" w:hAnsi="Times New Roman" w:cs="Times New Roman"/>
          <w:sz w:val="22"/>
          <w:szCs w:val="22"/>
          <w:lang w:val="es-ES_tradnl" w:eastAsia="es-ES_tradnl"/>
        </w:rPr>
        <w:t>valor de cotización del activo, siempre que éste sea lo suficientemente fiable como para considerarlo representativo del valor que pudiera recuperar la empresa.</w:t>
      </w:r>
    </w:p>
    <w:p w14:paraId="44165E7E" w14:textId="77777777" w:rsidR="009F6604" w:rsidRPr="00C8275B" w:rsidRDefault="009F6604" w:rsidP="000E24D4">
      <w:pPr>
        <w:shd w:val="clear" w:color="auto" w:fill="FFFFFF"/>
        <w:ind w:left="720" w:right="22"/>
        <w:jc w:val="both"/>
        <w:rPr>
          <w:rFonts w:ascii="Times New Roman" w:hAnsi="Times New Roman" w:cs="Times New Roman"/>
          <w:sz w:val="22"/>
          <w:szCs w:val="22"/>
          <w:lang w:val="es-ES_tradnl" w:eastAsia="es-ES_tradnl"/>
        </w:rPr>
      </w:pPr>
    </w:p>
    <w:p w14:paraId="2933EEF4" w14:textId="77777777" w:rsidR="006C0067" w:rsidRPr="00C8275B" w:rsidRDefault="006C0067" w:rsidP="000E24D4">
      <w:pPr>
        <w:shd w:val="clear" w:color="auto" w:fill="FFFFFF"/>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correcciones valorativas por deterioro, así como su reversión cuando el importe de </w:t>
      </w:r>
      <w:r w:rsidRPr="00C8275B">
        <w:rPr>
          <w:rFonts w:ascii="Times New Roman" w:hAnsi="Times New Roman" w:cs="Times New Roman"/>
          <w:spacing w:val="-1"/>
          <w:sz w:val="22"/>
          <w:szCs w:val="22"/>
          <w:lang w:val="es-ES_tradnl" w:eastAsia="es-ES_tradnl"/>
        </w:rPr>
        <w:t>dicha pérdida disminuyese por causas relacionadas con un evento posterior, se reconocerán como un gasto o un</w:t>
      </w:r>
      <w:r w:rsidRPr="00C8275B">
        <w:rPr>
          <w:rFonts w:ascii="Times New Roman" w:hAnsi="Times New Roman" w:cs="Times New Roman"/>
          <w:color w:val="0000FF"/>
          <w:spacing w:val="-1"/>
          <w:sz w:val="22"/>
          <w:szCs w:val="22"/>
          <w:lang w:val="es-ES_tradnl" w:eastAsia="es-ES_tradnl"/>
        </w:rPr>
        <w:t xml:space="preserve"> </w:t>
      </w:r>
      <w:r w:rsidRPr="00C8275B">
        <w:rPr>
          <w:rFonts w:ascii="Times New Roman" w:hAnsi="Times New Roman" w:cs="Times New Roman"/>
          <w:spacing w:val="-1"/>
          <w:sz w:val="22"/>
          <w:szCs w:val="22"/>
          <w:lang w:val="es-ES_tradnl" w:eastAsia="es-ES_tradnl"/>
        </w:rPr>
        <w:t xml:space="preserve">ingreso, respectivamente, en la cuenta de pérdidas y ganancias. La reversión del deterioro tendrá como límite el valor en libros del crédito que estaría reconocido en la fecha de </w:t>
      </w:r>
      <w:r w:rsidRPr="00C8275B">
        <w:rPr>
          <w:rFonts w:ascii="Times New Roman" w:hAnsi="Times New Roman" w:cs="Times New Roman"/>
          <w:sz w:val="22"/>
          <w:szCs w:val="22"/>
          <w:lang w:val="es-ES_tradnl" w:eastAsia="es-ES_tradnl"/>
        </w:rPr>
        <w:t>reversión si no se hubieses registrado el deterioro del valor.</w:t>
      </w:r>
    </w:p>
    <w:p w14:paraId="4862BEB0" w14:textId="77777777" w:rsidR="000E24D4" w:rsidRPr="00C8275B" w:rsidRDefault="000E24D4" w:rsidP="000E24D4">
      <w:pPr>
        <w:shd w:val="clear" w:color="auto" w:fill="FFFFFF"/>
        <w:ind w:left="720" w:right="22"/>
        <w:jc w:val="both"/>
        <w:rPr>
          <w:rFonts w:ascii="Times New Roman" w:hAnsi="Times New Roman" w:cs="Times New Roman"/>
          <w:sz w:val="22"/>
          <w:szCs w:val="22"/>
          <w:lang w:val="es-ES_tradnl" w:eastAsia="es-ES_tradnl"/>
        </w:rPr>
      </w:pPr>
    </w:p>
    <w:p w14:paraId="0F3A3AAF" w14:textId="77777777" w:rsidR="006C0067" w:rsidRPr="00C8275B" w:rsidRDefault="005461DE" w:rsidP="000E24D4">
      <w:pPr>
        <w:shd w:val="clear" w:color="auto" w:fill="FFFFFF"/>
        <w:tabs>
          <w:tab w:val="left" w:pos="1134"/>
        </w:tabs>
        <w:ind w:firstLine="708"/>
        <w:jc w:val="both"/>
        <w:rPr>
          <w:rFonts w:ascii="Times New Roman" w:hAnsi="Times New Roman" w:cs="Times New Roman"/>
          <w:b/>
          <w:sz w:val="22"/>
          <w:szCs w:val="22"/>
          <w:lang w:val="es-ES_tradnl" w:eastAsia="es-ES_tradnl"/>
        </w:rPr>
      </w:pPr>
      <w:r w:rsidRPr="00C8275B">
        <w:rPr>
          <w:rFonts w:ascii="Times New Roman" w:hAnsi="Times New Roman" w:cs="Times New Roman"/>
          <w:b/>
          <w:sz w:val="22"/>
          <w:szCs w:val="22"/>
          <w:lang w:val="es-ES_tradnl" w:eastAsia="es-ES_tradnl"/>
        </w:rPr>
        <w:t>4</w:t>
      </w:r>
      <w:r w:rsidR="006C0067" w:rsidRPr="00C8275B">
        <w:rPr>
          <w:rFonts w:ascii="Times New Roman" w:hAnsi="Times New Roman" w:cs="Times New Roman"/>
          <w:b/>
          <w:sz w:val="22"/>
          <w:szCs w:val="22"/>
          <w:lang w:val="es-ES_tradnl" w:eastAsia="es-ES_tradnl"/>
        </w:rPr>
        <w:t xml:space="preserve">.4. </w:t>
      </w:r>
      <w:r w:rsidR="00E60B2C" w:rsidRPr="00C8275B">
        <w:rPr>
          <w:rFonts w:ascii="Times New Roman" w:hAnsi="Times New Roman" w:cs="Times New Roman"/>
          <w:b/>
          <w:sz w:val="22"/>
          <w:szCs w:val="22"/>
          <w:lang w:val="es-ES_tradnl" w:eastAsia="es-ES_tradnl"/>
        </w:rPr>
        <w:t>P</w:t>
      </w:r>
      <w:r w:rsidR="006C0067" w:rsidRPr="00C8275B">
        <w:rPr>
          <w:rFonts w:ascii="Times New Roman" w:hAnsi="Times New Roman" w:cs="Times New Roman"/>
          <w:b/>
          <w:sz w:val="22"/>
          <w:szCs w:val="22"/>
          <w:lang w:val="es-ES_tradnl" w:eastAsia="es-ES_tradnl"/>
        </w:rPr>
        <w:t>asivos financieros:</w:t>
      </w:r>
    </w:p>
    <w:p w14:paraId="47EA0FC2" w14:textId="1E2B9D36" w:rsidR="006C0067" w:rsidRPr="00C8275B" w:rsidRDefault="006C0067" w:rsidP="00E60B2C">
      <w:pPr>
        <w:shd w:val="clear" w:color="auto" w:fill="FFFFFF"/>
        <w:spacing w:before="140"/>
        <w:ind w:right="893" w:firstLine="708"/>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que posee la Sociedad se clasifica</w:t>
      </w:r>
      <w:r w:rsidR="00AA6816" w:rsidRPr="00C8275B">
        <w:rPr>
          <w:rFonts w:ascii="Times New Roman" w:hAnsi="Times New Roman" w:cs="Times New Roman"/>
          <w:spacing w:val="-3"/>
          <w:sz w:val="22"/>
          <w:szCs w:val="22"/>
          <w:lang w:val="es-ES_tradnl" w:eastAsia="es-ES_tradnl"/>
        </w:rPr>
        <w:t>n</w:t>
      </w:r>
      <w:r w:rsidRPr="00C8275B">
        <w:rPr>
          <w:rFonts w:ascii="Times New Roman" w:hAnsi="Times New Roman" w:cs="Times New Roman"/>
          <w:spacing w:val="-3"/>
          <w:sz w:val="22"/>
          <w:szCs w:val="22"/>
          <w:lang w:val="es-ES_tradnl" w:eastAsia="es-ES_tradnl"/>
        </w:rPr>
        <w:t xml:space="preserve"> en la siguiente categoría: </w:t>
      </w:r>
    </w:p>
    <w:p w14:paraId="796B6A8D" w14:textId="16C16FC3" w:rsidR="006C0067" w:rsidRPr="00C8275B" w:rsidRDefault="006C0067" w:rsidP="00E60B2C">
      <w:pPr>
        <w:shd w:val="clear" w:color="auto" w:fill="FFFFFF"/>
        <w:spacing w:before="240"/>
        <w:ind w:right="893" w:firstLine="708"/>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lastRenderedPageBreak/>
        <w:t xml:space="preserve">Pasivos financieros </w:t>
      </w:r>
      <w:r w:rsidRPr="00C8275B">
        <w:rPr>
          <w:rFonts w:ascii="Times New Roman" w:hAnsi="Times New Roman" w:cs="Times New Roman"/>
          <w:sz w:val="22"/>
          <w:szCs w:val="22"/>
          <w:lang w:val="es-ES_tradnl" w:eastAsia="es-ES_tradnl"/>
        </w:rPr>
        <w:t xml:space="preserve">a </w:t>
      </w:r>
      <w:r w:rsidRPr="00C8275B">
        <w:rPr>
          <w:rFonts w:ascii="Times New Roman" w:hAnsi="Times New Roman" w:cs="Times New Roman"/>
          <w:b/>
          <w:bCs/>
          <w:sz w:val="22"/>
          <w:szCs w:val="22"/>
          <w:lang w:val="es-ES_tradnl" w:eastAsia="es-ES_tradnl"/>
        </w:rPr>
        <w:t xml:space="preserve">coste amortizado </w:t>
      </w:r>
    </w:p>
    <w:p w14:paraId="28E3A4B3" w14:textId="77777777" w:rsidR="006C0067" w:rsidRPr="00C8275B" w:rsidRDefault="006C0067" w:rsidP="00E60B2C">
      <w:pPr>
        <w:shd w:val="clear" w:color="auto" w:fill="FFFFFF"/>
        <w:spacing w:before="140"/>
        <w:ind w:right="893" w:firstLine="708"/>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En esta categoría se clasifican los:</w:t>
      </w:r>
    </w:p>
    <w:p w14:paraId="40323C12" w14:textId="77777777" w:rsidR="00B22ED2" w:rsidRPr="00C8275B"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Débitos por operaciones comerciales, recogiéndose aquellos pasivos financieros </w:t>
      </w:r>
      <w:r w:rsidRPr="00C8275B">
        <w:rPr>
          <w:rFonts w:ascii="Times New Roman" w:hAnsi="Times New Roman" w:cs="Times New Roman"/>
          <w:sz w:val="22"/>
          <w:szCs w:val="22"/>
          <w:lang w:val="es-ES_tradnl" w:eastAsia="es-ES_tradnl"/>
        </w:rPr>
        <w:t>que se originan en la compra de bienes y servicios por operaciones de tráfico de la empresa (proveedores y acreedores varios).</w:t>
      </w:r>
    </w:p>
    <w:p w14:paraId="62375E98" w14:textId="77777777" w:rsidR="001A6B48" w:rsidRPr="00C8275B" w:rsidRDefault="006C0067" w:rsidP="00B22ED2">
      <w:pPr>
        <w:numPr>
          <w:ilvl w:val="0"/>
          <w:numId w:val="12"/>
        </w:numPr>
        <w:shd w:val="clear" w:color="auto" w:fill="FFFFFF"/>
        <w:tabs>
          <w:tab w:val="left" w:pos="1134"/>
        </w:tabs>
        <w:spacing w:before="198"/>
        <w:ind w:right="14"/>
        <w:jc w:val="both"/>
        <w:rPr>
          <w:rFonts w:ascii="Times New Roman" w:hAnsi="Times New Roman" w:cs="Times New Roman"/>
          <w:spacing w:val="-7"/>
          <w:sz w:val="22"/>
          <w:szCs w:val="22"/>
          <w:lang w:val="es-ES_tradnl" w:eastAsia="es-ES_tradnl"/>
        </w:rPr>
      </w:pPr>
      <w:r w:rsidRPr="00C8275B">
        <w:rPr>
          <w:rFonts w:ascii="Times New Roman" w:hAnsi="Times New Roman" w:cs="Times New Roman"/>
          <w:spacing w:val="-4"/>
          <w:sz w:val="22"/>
          <w:szCs w:val="22"/>
          <w:lang w:val="es-ES_tradnl" w:eastAsia="es-ES_tradnl"/>
        </w:rPr>
        <w:t xml:space="preserve">Débitos por operaciones no comerciales recogiéndose aquellos pasivos financieros </w:t>
      </w:r>
      <w:r w:rsidRPr="00C8275B">
        <w:rPr>
          <w:rFonts w:ascii="Times New Roman" w:hAnsi="Times New Roman" w:cs="Times New Roman"/>
          <w:sz w:val="22"/>
          <w:szCs w:val="22"/>
          <w:lang w:val="es-ES_tradnl" w:eastAsia="es-ES_tradnl"/>
        </w:rPr>
        <w:t>que, no siendo instrumentos derivados, no tienen origen comercial.</w:t>
      </w:r>
    </w:p>
    <w:p w14:paraId="0134E82E" w14:textId="77777777" w:rsidR="00205A13" w:rsidRPr="00C8275B"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14:paraId="65BBE2F5" w14:textId="77777777" w:rsidR="006C0067" w:rsidRPr="00C8275B" w:rsidRDefault="006C0067" w:rsidP="00E60B2C">
      <w:pPr>
        <w:shd w:val="clear" w:color="auto" w:fill="FFFFFF"/>
        <w:ind w:firstLine="708"/>
        <w:jc w:val="both"/>
        <w:rPr>
          <w:rFonts w:ascii="Times New Roman" w:hAnsi="Times New Roman" w:cs="Times New Roman"/>
          <w:spacing w:val="-3"/>
          <w:sz w:val="22"/>
          <w:szCs w:val="22"/>
          <w:u w:val="single"/>
          <w:lang w:val="es-ES_tradnl" w:eastAsia="es-ES_tradnl"/>
        </w:rPr>
      </w:pPr>
      <w:r w:rsidRPr="00C8275B">
        <w:rPr>
          <w:rFonts w:ascii="Times New Roman" w:hAnsi="Times New Roman" w:cs="Times New Roman"/>
          <w:spacing w:val="-3"/>
          <w:sz w:val="22"/>
          <w:szCs w:val="22"/>
          <w:u w:val="single"/>
          <w:lang w:val="es-ES_tradnl" w:eastAsia="es-ES_tradnl"/>
        </w:rPr>
        <w:t>Valoración Inicial:</w:t>
      </w:r>
    </w:p>
    <w:p w14:paraId="73FEBE53" w14:textId="77777777" w:rsidR="006C0067" w:rsidRPr="00C8275B" w:rsidRDefault="006C0067" w:rsidP="006C0067">
      <w:pPr>
        <w:shd w:val="clear" w:color="auto" w:fill="FFFFFF"/>
        <w:ind w:left="720" w:firstLine="720"/>
        <w:jc w:val="both"/>
        <w:rPr>
          <w:rFonts w:ascii="Times New Roman" w:hAnsi="Times New Roman" w:cs="Times New Roman"/>
          <w:sz w:val="22"/>
          <w:szCs w:val="22"/>
        </w:rPr>
      </w:pPr>
    </w:p>
    <w:p w14:paraId="0ED85BFC" w14:textId="77777777" w:rsidR="006C0067" w:rsidRPr="00C8275B" w:rsidRDefault="006C0067" w:rsidP="00E60B2C">
      <w:pPr>
        <w:shd w:val="clear" w:color="auto" w:fill="FFFFFF"/>
        <w:ind w:left="720" w:right="7"/>
        <w:jc w:val="both"/>
        <w:rPr>
          <w:rFonts w:ascii="Times New Roman" w:hAnsi="Times New Roman" w:cs="Times New Roman"/>
          <w:sz w:val="22"/>
          <w:szCs w:val="22"/>
        </w:rPr>
      </w:pPr>
      <w:r w:rsidRPr="00C8275B">
        <w:rPr>
          <w:rFonts w:ascii="Times New Roman" w:hAnsi="Times New Roman" w:cs="Times New Roman"/>
          <w:spacing w:val="-3"/>
          <w:sz w:val="22"/>
          <w:szCs w:val="22"/>
          <w:lang w:val="es-ES_tradnl" w:eastAsia="es-ES_tradnl"/>
        </w:rPr>
        <w:t xml:space="preserve">Se valoran inicialmente por el coste, que equivale al valor razonable de la contraprestación </w:t>
      </w:r>
      <w:r w:rsidRPr="00C8275B">
        <w:rPr>
          <w:rFonts w:ascii="Times New Roman" w:hAnsi="Times New Roman" w:cs="Times New Roman"/>
          <w:spacing w:val="-1"/>
          <w:sz w:val="22"/>
          <w:szCs w:val="22"/>
          <w:lang w:val="es-ES_tradnl" w:eastAsia="es-ES_tradnl"/>
        </w:rPr>
        <w:t xml:space="preserve">recibida ajustado por los costes de transacción que les son directamente atribuibles, no obstante, </w:t>
      </w:r>
      <w:r w:rsidRPr="00C8275B">
        <w:rPr>
          <w:rFonts w:ascii="Times New Roman" w:hAnsi="Times New Roman" w:cs="Times New Roman"/>
          <w:spacing w:val="-2"/>
          <w:sz w:val="22"/>
          <w:szCs w:val="22"/>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C8275B">
        <w:rPr>
          <w:rFonts w:ascii="Times New Roman" w:hAnsi="Times New Roman" w:cs="Times New Roman"/>
          <w:sz w:val="22"/>
          <w:szCs w:val="22"/>
          <w:lang w:val="es-ES_tradnl" w:eastAsia="es-ES_tradnl"/>
        </w:rPr>
        <w:t>su reconocimiento inicial.</w:t>
      </w:r>
    </w:p>
    <w:p w14:paraId="1D4D8055" w14:textId="0A3AE52E" w:rsidR="006C0067" w:rsidRPr="00C8275B" w:rsidRDefault="006C0067" w:rsidP="00E60B2C">
      <w:pPr>
        <w:shd w:val="clear" w:color="auto" w:fill="FFFFFF"/>
        <w:spacing w:before="220"/>
        <w:ind w:left="720"/>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No obstante</w:t>
      </w:r>
      <w:r w:rsidR="00AA6816"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lo señalado en el párrafo anterior, los débitos por operaciones comerciales con </w:t>
      </w:r>
      <w:r w:rsidRPr="00C8275B">
        <w:rPr>
          <w:rFonts w:ascii="Times New Roman" w:hAnsi="Times New Roman" w:cs="Times New Roman"/>
          <w:sz w:val="22"/>
          <w:szCs w:val="22"/>
          <w:lang w:val="es-ES_tradnl" w:eastAsia="es-ES_tradnl"/>
        </w:rPr>
        <w:t xml:space="preserve">vencimiento no superior a un año y que no tienen un tipo de interés contractual, así como las </w:t>
      </w:r>
      <w:r w:rsidRPr="00C8275B">
        <w:rPr>
          <w:rFonts w:ascii="Times New Roman" w:hAnsi="Times New Roman" w:cs="Times New Roman"/>
          <w:spacing w:val="-3"/>
          <w:sz w:val="22"/>
          <w:szCs w:val="22"/>
          <w:lang w:val="es-ES_tradnl" w:eastAsia="es-ES_tradnl"/>
        </w:rPr>
        <w:t xml:space="preserve">fianzas y los desembolsos exigidos por terceros sobre participaciones, cuyo importe se espera pagar </w:t>
      </w:r>
      <w:r w:rsidRPr="00C8275B">
        <w:rPr>
          <w:rFonts w:ascii="Times New Roman" w:hAnsi="Times New Roman" w:cs="Times New Roman"/>
          <w:spacing w:val="-1"/>
          <w:sz w:val="22"/>
          <w:szCs w:val="22"/>
          <w:lang w:val="es-ES_tradnl" w:eastAsia="es-ES_tradnl"/>
        </w:rPr>
        <w:t xml:space="preserve">en el corto plazo, se valoran por su valor nominal, cuando el efecto de no actualizar los flujos de </w:t>
      </w:r>
      <w:r w:rsidRPr="00C8275B">
        <w:rPr>
          <w:rFonts w:ascii="Times New Roman" w:hAnsi="Times New Roman" w:cs="Times New Roman"/>
          <w:sz w:val="22"/>
          <w:szCs w:val="22"/>
          <w:lang w:val="es-ES_tradnl" w:eastAsia="es-ES_tradnl"/>
        </w:rPr>
        <w:t>efectivo no es significativo.</w:t>
      </w:r>
    </w:p>
    <w:p w14:paraId="4140EFAE" w14:textId="77777777" w:rsidR="00205A13" w:rsidRPr="00C8275B" w:rsidRDefault="00205A13" w:rsidP="00E60B2C">
      <w:pPr>
        <w:shd w:val="clear" w:color="auto" w:fill="FFFFFF"/>
        <w:ind w:firstLine="708"/>
        <w:jc w:val="both"/>
        <w:rPr>
          <w:rFonts w:ascii="Times New Roman" w:hAnsi="Times New Roman" w:cs="Times New Roman"/>
          <w:spacing w:val="-3"/>
          <w:sz w:val="22"/>
          <w:szCs w:val="22"/>
          <w:u w:val="single"/>
          <w:lang w:val="es-ES_tradnl" w:eastAsia="es-ES_tradnl"/>
        </w:rPr>
      </w:pPr>
    </w:p>
    <w:p w14:paraId="7337C5E4" w14:textId="77777777" w:rsidR="006C0067" w:rsidRPr="00C8275B" w:rsidRDefault="006C0067" w:rsidP="00E60B2C">
      <w:pPr>
        <w:shd w:val="clear" w:color="auto" w:fill="FFFFFF"/>
        <w:ind w:firstLine="708"/>
        <w:jc w:val="both"/>
        <w:rPr>
          <w:rFonts w:ascii="Times New Roman" w:hAnsi="Times New Roman" w:cs="Times New Roman"/>
          <w:sz w:val="22"/>
          <w:szCs w:val="22"/>
          <w:u w:val="single"/>
        </w:rPr>
      </w:pPr>
      <w:r w:rsidRPr="00C8275B">
        <w:rPr>
          <w:rFonts w:ascii="Times New Roman" w:hAnsi="Times New Roman" w:cs="Times New Roman"/>
          <w:spacing w:val="-3"/>
          <w:sz w:val="22"/>
          <w:szCs w:val="22"/>
          <w:u w:val="single"/>
          <w:lang w:val="es-ES_tradnl" w:eastAsia="es-ES_tradnl"/>
        </w:rPr>
        <w:t>Valoración Posterior:</w:t>
      </w:r>
    </w:p>
    <w:p w14:paraId="3DAFBA4F" w14:textId="77777777" w:rsidR="006C0067" w:rsidRPr="00C8275B" w:rsidRDefault="006C0067" w:rsidP="006C0067">
      <w:pPr>
        <w:shd w:val="clear" w:color="auto" w:fill="FFFFFF"/>
        <w:ind w:left="720" w:right="7" w:firstLine="720"/>
        <w:jc w:val="both"/>
        <w:rPr>
          <w:rFonts w:ascii="Times New Roman" w:hAnsi="Times New Roman" w:cs="Times New Roman"/>
          <w:spacing w:val="-3"/>
          <w:sz w:val="22"/>
          <w:szCs w:val="22"/>
          <w:lang w:val="es-ES_tradnl" w:eastAsia="es-ES_tradnl"/>
        </w:rPr>
      </w:pPr>
    </w:p>
    <w:p w14:paraId="198B338E" w14:textId="1076D0E8" w:rsidR="006C0067" w:rsidRPr="00C8275B" w:rsidRDefault="006C0067" w:rsidP="00E60B2C">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C8275B">
        <w:rPr>
          <w:rFonts w:ascii="Times New Roman" w:hAnsi="Times New Roman" w:cs="Times New Roman"/>
          <w:sz w:val="22"/>
          <w:szCs w:val="22"/>
        </w:rPr>
        <w:t xml:space="preserve"> </w:t>
      </w:r>
      <w:r w:rsidRPr="00C8275B">
        <w:rPr>
          <w:rFonts w:ascii="Times New Roman" w:hAnsi="Times New Roman" w:cs="Times New Roman"/>
          <w:sz w:val="22"/>
          <w:szCs w:val="22"/>
          <w:lang w:val="es-ES_tradnl" w:eastAsia="es-ES_tradnl"/>
        </w:rPr>
        <w:t xml:space="preserve">participación y similares, se valoran al coste, incrementado o disminuido por el beneficio o la </w:t>
      </w:r>
      <w:r w:rsidRPr="00C8275B">
        <w:rPr>
          <w:rFonts w:ascii="Times New Roman" w:hAnsi="Times New Roman" w:cs="Times New Roman"/>
          <w:spacing w:val="-3"/>
          <w:sz w:val="22"/>
          <w:szCs w:val="22"/>
          <w:lang w:val="es-ES_tradnl" w:eastAsia="es-ES_tradnl"/>
        </w:rPr>
        <w:t>pérdida, respectivamente, que deba atribuirse a los partícipes no gestores.</w:t>
      </w:r>
    </w:p>
    <w:p w14:paraId="0C4593AC" w14:textId="39391ACA" w:rsidR="008B7EE9" w:rsidRPr="00C8275B" w:rsidRDefault="006C0067" w:rsidP="008B7EE9">
      <w:pPr>
        <w:shd w:val="clear" w:color="auto" w:fill="FFFFFF"/>
        <w:spacing w:before="238"/>
        <w:ind w:left="720" w:right="25"/>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No obstante</w:t>
      </w:r>
      <w:r w:rsidR="00AA6816"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lo anterior, los débitos con vencimiento no superior a un año que, de acuerdo con lo dispuesto en el apartado anterior, se valoren inicialmente por su valor nominal, continuarán </w:t>
      </w:r>
      <w:r w:rsidRPr="00C8275B">
        <w:rPr>
          <w:rFonts w:ascii="Times New Roman" w:hAnsi="Times New Roman" w:cs="Times New Roman"/>
          <w:sz w:val="22"/>
          <w:szCs w:val="22"/>
          <w:lang w:val="es-ES_tradnl" w:eastAsia="es-ES_tradnl"/>
        </w:rPr>
        <w:t>valorándose por dicho importe.</w:t>
      </w:r>
    </w:p>
    <w:p w14:paraId="643EF317" w14:textId="77777777" w:rsidR="008B7EE9" w:rsidRPr="00C8275B" w:rsidRDefault="008B7EE9" w:rsidP="008B7EE9">
      <w:pPr>
        <w:shd w:val="clear" w:color="auto" w:fill="FFFFFF"/>
        <w:ind w:left="720" w:right="22"/>
        <w:jc w:val="both"/>
        <w:rPr>
          <w:rFonts w:ascii="Times New Roman" w:hAnsi="Times New Roman" w:cs="Times New Roman"/>
          <w:sz w:val="22"/>
          <w:szCs w:val="22"/>
          <w:lang w:val="es-ES_tradnl" w:eastAsia="es-ES_tradnl"/>
        </w:rPr>
      </w:pPr>
    </w:p>
    <w:p w14:paraId="5E00AFBE" w14:textId="77777777" w:rsidR="00DE49BA" w:rsidRPr="00C8275B" w:rsidRDefault="00754F30"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proofErr w:type="gramStart"/>
      <w:r w:rsidRPr="00C8275B">
        <w:rPr>
          <w:rFonts w:ascii="Times New Roman" w:hAnsi="Times New Roman" w:cs="Times New Roman"/>
          <w:b/>
          <w:bCs/>
          <w:spacing w:val="-4"/>
          <w:sz w:val="22"/>
          <w:szCs w:val="22"/>
          <w:lang w:val="es-ES_tradnl" w:eastAsia="es-ES_tradnl"/>
        </w:rPr>
        <w:t>4</w:t>
      </w:r>
      <w:r w:rsidR="00DE49BA" w:rsidRPr="00C8275B">
        <w:rPr>
          <w:rFonts w:ascii="Times New Roman" w:hAnsi="Times New Roman" w:cs="Times New Roman"/>
          <w:b/>
          <w:bCs/>
          <w:spacing w:val="-4"/>
          <w:sz w:val="22"/>
          <w:szCs w:val="22"/>
          <w:lang w:val="es-ES_tradnl" w:eastAsia="es-ES_tradnl"/>
        </w:rPr>
        <w:t>.5</w:t>
      </w:r>
      <w:r w:rsidR="00DE49BA" w:rsidRPr="00C8275B">
        <w:rPr>
          <w:rFonts w:ascii="Times New Roman" w:hAnsi="Times New Roman" w:cs="Times New Roman"/>
          <w:b/>
          <w:bCs/>
          <w:sz w:val="22"/>
          <w:szCs w:val="22"/>
          <w:lang w:val="es-ES_tradnl" w:eastAsia="es-ES_tradnl"/>
        </w:rPr>
        <w:t xml:space="preserve">  </w:t>
      </w:r>
      <w:r w:rsidR="00DE49BA" w:rsidRPr="00C8275B">
        <w:rPr>
          <w:rFonts w:ascii="Times New Roman" w:hAnsi="Times New Roman" w:cs="Times New Roman"/>
          <w:b/>
          <w:bCs/>
          <w:spacing w:val="-3"/>
          <w:sz w:val="22"/>
          <w:szCs w:val="22"/>
          <w:lang w:val="es-ES_tradnl" w:eastAsia="es-ES_tradnl"/>
        </w:rPr>
        <w:t>Impuesto</w:t>
      </w:r>
      <w:proofErr w:type="gramEnd"/>
      <w:r w:rsidR="00DE49BA" w:rsidRPr="00C8275B">
        <w:rPr>
          <w:rFonts w:ascii="Times New Roman" w:hAnsi="Times New Roman" w:cs="Times New Roman"/>
          <w:b/>
          <w:bCs/>
          <w:spacing w:val="-3"/>
          <w:sz w:val="22"/>
          <w:szCs w:val="22"/>
          <w:lang w:val="es-ES_tradnl" w:eastAsia="es-ES_tradnl"/>
        </w:rPr>
        <w:t xml:space="preserve"> sobre beneficios:</w:t>
      </w:r>
    </w:p>
    <w:p w14:paraId="5B62E590" w14:textId="77777777" w:rsidR="00205A13" w:rsidRPr="00C8275B" w:rsidRDefault="00205A13" w:rsidP="00DE49BA">
      <w:pPr>
        <w:shd w:val="clear" w:color="auto" w:fill="FFFFFF"/>
        <w:tabs>
          <w:tab w:val="left" w:pos="1134"/>
        </w:tabs>
        <w:ind w:firstLine="709"/>
        <w:jc w:val="both"/>
        <w:rPr>
          <w:rFonts w:ascii="Times New Roman" w:hAnsi="Times New Roman" w:cs="Times New Roman"/>
          <w:b/>
          <w:bCs/>
          <w:spacing w:val="-3"/>
          <w:sz w:val="22"/>
          <w:szCs w:val="22"/>
          <w:lang w:val="es-ES_tradnl" w:eastAsia="es-ES_tradnl"/>
        </w:rPr>
      </w:pPr>
    </w:p>
    <w:p w14:paraId="7C0DA179" w14:textId="77777777" w:rsidR="00DE49BA" w:rsidRPr="00C8275B" w:rsidRDefault="00DE49BA" w:rsidP="00DE49BA">
      <w:pPr>
        <w:shd w:val="clear" w:color="auto" w:fill="FFFFFF"/>
        <w:tabs>
          <w:tab w:val="left" w:pos="1134"/>
        </w:tabs>
        <w:ind w:left="709"/>
        <w:jc w:val="both"/>
        <w:rPr>
          <w:rFonts w:ascii="Times New Roman" w:hAnsi="Times New Roman" w:cs="Times New Roman"/>
          <w:sz w:val="22"/>
          <w:szCs w:val="22"/>
          <w:lang w:val="es-ES_tradnl" w:eastAsia="es-ES_tradnl"/>
        </w:rPr>
      </w:pPr>
      <w:r w:rsidRPr="00C8275B">
        <w:rPr>
          <w:rFonts w:ascii="Times New Roman" w:hAnsi="Times New Roman" w:cs="Times New Roman"/>
          <w:bCs/>
          <w:spacing w:val="-3"/>
          <w:sz w:val="22"/>
          <w:szCs w:val="22"/>
          <w:lang w:val="es-ES_tradnl" w:eastAsia="es-ES_tradnl"/>
        </w:rPr>
        <w:t>El gasto por impuesto</w:t>
      </w:r>
      <w:r w:rsidRPr="00C8275B">
        <w:rPr>
          <w:rFonts w:ascii="Times New Roman" w:hAnsi="Times New Roman" w:cs="Times New Roman"/>
          <w:spacing w:val="-3"/>
          <w:sz w:val="22"/>
          <w:szCs w:val="22"/>
          <w:lang w:val="es-ES_tradnl" w:eastAsia="es-ES_tradnl"/>
        </w:rPr>
        <w:t xml:space="preserve"> sobre beneficios del ejercicio corresponde al impuesto corriente más </w:t>
      </w:r>
      <w:r w:rsidRPr="00C8275B">
        <w:rPr>
          <w:rFonts w:ascii="Times New Roman" w:hAnsi="Times New Roman" w:cs="Times New Roman"/>
          <w:sz w:val="22"/>
          <w:szCs w:val="22"/>
          <w:lang w:val="es-ES_tradnl" w:eastAsia="es-ES_tradnl"/>
        </w:rPr>
        <w:t>la variación de los activos y pasivos por impuestos diferidos.</w:t>
      </w:r>
    </w:p>
    <w:p w14:paraId="31F888D5" w14:textId="77777777" w:rsidR="00DE49BA" w:rsidRPr="00C8275B" w:rsidRDefault="00DE49BA" w:rsidP="00DE49BA">
      <w:pPr>
        <w:shd w:val="clear" w:color="auto" w:fill="FFFFFF"/>
        <w:spacing w:before="241"/>
        <w:ind w:left="720" w:right="25"/>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Los activos y pasivos por impuestos diferidos incluyen las diferencias temporarias que se </w:t>
      </w:r>
      <w:r w:rsidRPr="00C8275B">
        <w:rPr>
          <w:rFonts w:ascii="Times New Roman" w:hAnsi="Times New Roman" w:cs="Times New Roman"/>
          <w:sz w:val="22"/>
          <w:szCs w:val="22"/>
          <w:lang w:val="es-ES_tradnl" w:eastAsia="es-ES_tradnl"/>
        </w:rPr>
        <w:t xml:space="preserve">identifican como aquellos importes que se prevén pagaderos o recuperables por las diferencias </w:t>
      </w:r>
      <w:r w:rsidRPr="00C8275B">
        <w:rPr>
          <w:rFonts w:ascii="Times New Roman" w:hAnsi="Times New Roman" w:cs="Times New Roman"/>
          <w:spacing w:val="-3"/>
          <w:sz w:val="22"/>
          <w:szCs w:val="22"/>
          <w:lang w:val="es-ES_tradnl" w:eastAsia="es-ES_tradnl"/>
        </w:rPr>
        <w:t xml:space="preserve">entre los importes en libros de los activos y pasivos y su valor fiscal, así como las bases imponibles </w:t>
      </w:r>
      <w:r w:rsidRPr="00C8275B">
        <w:rPr>
          <w:rFonts w:ascii="Times New Roman" w:hAnsi="Times New Roman" w:cs="Times New Roman"/>
          <w:sz w:val="22"/>
          <w:szCs w:val="22"/>
          <w:lang w:val="es-ES_tradnl" w:eastAsia="es-ES_tradnl"/>
        </w:rPr>
        <w:t xml:space="preserve">negativas pendientes de compensación y los créditos por deducciones fiscales no aplicadas </w:t>
      </w:r>
      <w:r w:rsidRPr="00C8275B">
        <w:rPr>
          <w:rFonts w:ascii="Times New Roman" w:hAnsi="Times New Roman" w:cs="Times New Roman"/>
          <w:spacing w:val="-1"/>
          <w:sz w:val="22"/>
          <w:szCs w:val="22"/>
          <w:lang w:val="es-ES_tradnl" w:eastAsia="es-ES_tradnl"/>
        </w:rPr>
        <w:t xml:space="preserve">fiscalmente. Dichos importes se registran aplicando a la diferencia temporaria o crédito que </w:t>
      </w:r>
      <w:r w:rsidRPr="00C8275B">
        <w:rPr>
          <w:rFonts w:ascii="Times New Roman" w:hAnsi="Times New Roman" w:cs="Times New Roman"/>
          <w:spacing w:val="-2"/>
          <w:sz w:val="22"/>
          <w:szCs w:val="22"/>
          <w:lang w:val="es-ES_tradnl" w:eastAsia="es-ES_tradnl"/>
        </w:rPr>
        <w:t>corresponda, el tipo de gravamen al que se espera recuperarlos o liquidarlos.</w:t>
      </w:r>
    </w:p>
    <w:p w14:paraId="26A6202F" w14:textId="77777777" w:rsidR="00DE49BA" w:rsidRPr="00C8275B" w:rsidRDefault="00DE49BA" w:rsidP="00DE49BA">
      <w:pPr>
        <w:shd w:val="clear" w:color="auto" w:fill="FFFFFF"/>
        <w:spacing w:before="238"/>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Al cierre del ejercicio la Sociedad revisa los impuestos diferidos registrados llevándose a </w:t>
      </w:r>
      <w:r w:rsidRPr="00C8275B">
        <w:rPr>
          <w:rFonts w:ascii="Times New Roman" w:hAnsi="Times New Roman" w:cs="Times New Roman"/>
          <w:sz w:val="22"/>
          <w:szCs w:val="22"/>
          <w:lang w:val="es-ES_tradnl" w:eastAsia="es-ES_tradnl"/>
        </w:rPr>
        <w:t>cabo las correcciones a los mismos que sean necesarias.</w:t>
      </w:r>
    </w:p>
    <w:p w14:paraId="4E2D6585" w14:textId="77777777" w:rsidR="00661043" w:rsidRPr="00C8275B" w:rsidRDefault="00661043" w:rsidP="00DE49BA">
      <w:pPr>
        <w:shd w:val="clear" w:color="auto" w:fill="FFFFFF"/>
        <w:spacing w:before="238"/>
        <w:ind w:left="720" w:right="22"/>
        <w:jc w:val="both"/>
        <w:rPr>
          <w:rFonts w:ascii="Times New Roman" w:hAnsi="Times New Roman" w:cs="Times New Roman"/>
          <w:sz w:val="22"/>
          <w:szCs w:val="22"/>
        </w:rPr>
      </w:pPr>
      <w:r w:rsidRPr="00C8275B">
        <w:rPr>
          <w:rFonts w:ascii="Times New Roman" w:hAnsi="Times New Roman" w:cs="Times New Roman"/>
          <w:sz w:val="22"/>
          <w:szCs w:val="22"/>
          <w:lang w:val="es-ES_tradnl" w:eastAsia="es-ES_tradnl"/>
        </w:rPr>
        <w:t>Debido, a que l</w:t>
      </w:r>
      <w:r w:rsidRPr="00C8275B">
        <w:rPr>
          <w:rFonts w:ascii="Times New Roman" w:hAnsi="Times New Roman" w:cs="Times New Roman"/>
          <w:spacing w:val="-2"/>
          <w:sz w:val="22"/>
          <w:szCs w:val="22"/>
          <w:lang w:val="es-ES_tradnl" w:eastAsia="es-ES_tradnl"/>
        </w:rPr>
        <w:t xml:space="preserve">a sociedad, de acuerdo al artículo 34 de la Ley del Impuesto de sociedades </w:t>
      </w:r>
      <w:r w:rsidR="00824ED5" w:rsidRPr="00C8275B">
        <w:rPr>
          <w:rFonts w:ascii="Times New Roman" w:hAnsi="Times New Roman" w:cs="Times New Roman"/>
          <w:spacing w:val="-2"/>
          <w:sz w:val="22"/>
          <w:szCs w:val="22"/>
          <w:lang w:val="es-ES_tradnl" w:eastAsia="es-ES_tradnl"/>
        </w:rPr>
        <w:t xml:space="preserve">puede aplicarse </w:t>
      </w:r>
      <w:r w:rsidRPr="00C8275B">
        <w:rPr>
          <w:rFonts w:ascii="Times New Roman" w:hAnsi="Times New Roman" w:cs="Times New Roman"/>
          <w:spacing w:val="-2"/>
          <w:sz w:val="22"/>
          <w:szCs w:val="22"/>
          <w:lang w:val="es-ES_tradnl" w:eastAsia="es-ES_tradnl"/>
        </w:rPr>
        <w:t>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r w:rsidR="00824ED5" w:rsidRPr="00C8275B">
        <w:rPr>
          <w:rFonts w:ascii="Times New Roman" w:hAnsi="Times New Roman" w:cs="Times New Roman"/>
          <w:spacing w:val="-2"/>
          <w:sz w:val="22"/>
          <w:szCs w:val="22"/>
          <w:lang w:val="es-ES_tradnl" w:eastAsia="es-ES_tradnl"/>
        </w:rPr>
        <w:t xml:space="preserve"> En base a dicha circunstancia</w:t>
      </w:r>
      <w:r w:rsidR="00D85BE3" w:rsidRPr="00C8275B">
        <w:rPr>
          <w:rFonts w:ascii="Times New Roman" w:hAnsi="Times New Roman" w:cs="Times New Roman"/>
          <w:spacing w:val="-2"/>
          <w:sz w:val="22"/>
          <w:szCs w:val="22"/>
          <w:lang w:val="es-ES_tradnl" w:eastAsia="es-ES_tradnl"/>
        </w:rPr>
        <w:t>, y al principio de importancia relativa de los mismos no se procede a la activación de imputación alguna en concepto de activos diferido ni pasivos diferidos.</w:t>
      </w:r>
    </w:p>
    <w:p w14:paraId="3E9C6CDE" w14:textId="44F785E4" w:rsidR="00DE49BA" w:rsidRPr="00C8275B" w:rsidRDefault="00D85BE3" w:rsidP="00DE49BA">
      <w:pPr>
        <w:shd w:val="clear" w:color="auto" w:fill="FFFFFF"/>
        <w:spacing w:before="227"/>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eastAsia="es-ES_tradnl"/>
        </w:rPr>
        <w:lastRenderedPageBreak/>
        <w:t>A tenor de lo anterior y dada</w:t>
      </w:r>
      <w:r w:rsidR="00A43184" w:rsidRPr="00C8275B">
        <w:rPr>
          <w:rFonts w:ascii="Times New Roman" w:hAnsi="Times New Roman" w:cs="Times New Roman"/>
          <w:spacing w:val="-2"/>
          <w:sz w:val="22"/>
          <w:szCs w:val="22"/>
          <w:lang w:eastAsia="es-ES_tradnl"/>
        </w:rPr>
        <w:t xml:space="preserve"> la actividad y el objeto de la entidad y en </w:t>
      </w:r>
      <w:r w:rsidR="00DE49BA" w:rsidRPr="00C8275B">
        <w:rPr>
          <w:rFonts w:ascii="Times New Roman" w:hAnsi="Times New Roman" w:cs="Times New Roman"/>
          <w:spacing w:val="-2"/>
          <w:sz w:val="22"/>
          <w:szCs w:val="22"/>
          <w:lang w:val="es-ES_tradnl" w:eastAsia="es-ES_tradnl"/>
        </w:rPr>
        <w:t xml:space="preserve">aplicación del criterio de prudencia, la entidad ha decidido no activar el crédito fiscal </w:t>
      </w:r>
      <w:r w:rsidR="00DE49BA" w:rsidRPr="00C8275B">
        <w:rPr>
          <w:rFonts w:ascii="Times New Roman" w:hAnsi="Times New Roman" w:cs="Times New Roman"/>
          <w:spacing w:val="-3"/>
          <w:sz w:val="22"/>
          <w:szCs w:val="22"/>
          <w:lang w:val="es-ES_tradnl" w:eastAsia="es-ES_tradnl"/>
        </w:rPr>
        <w:t xml:space="preserve">generado por Bases Imponibles Negativas </w:t>
      </w:r>
      <w:r w:rsidRPr="00C8275B">
        <w:rPr>
          <w:rFonts w:ascii="Times New Roman" w:hAnsi="Times New Roman" w:cs="Times New Roman"/>
          <w:spacing w:val="-3"/>
          <w:sz w:val="22"/>
          <w:szCs w:val="22"/>
          <w:lang w:val="es-ES_tradnl" w:eastAsia="es-ES_tradnl"/>
        </w:rPr>
        <w:t>en el Impuesto sobre Sociedades; ni por su parte reconocer el pasivo diferido de los activos cedidos de dominio público.</w:t>
      </w:r>
    </w:p>
    <w:p w14:paraId="12095A6A" w14:textId="77777777" w:rsidR="00205A13" w:rsidRPr="00C8275B" w:rsidRDefault="00205A13" w:rsidP="00205A13">
      <w:pPr>
        <w:shd w:val="clear" w:color="auto" w:fill="FFFFFF"/>
        <w:ind w:firstLine="551"/>
        <w:jc w:val="both"/>
        <w:rPr>
          <w:rFonts w:ascii="Times New Roman" w:hAnsi="Times New Roman" w:cs="Times New Roman"/>
          <w:b/>
          <w:bCs/>
          <w:color w:val="0000FF"/>
          <w:spacing w:val="-3"/>
          <w:sz w:val="22"/>
          <w:szCs w:val="22"/>
          <w:lang w:val="es-ES_tradnl" w:eastAsia="es-ES_tradnl"/>
        </w:rPr>
      </w:pPr>
    </w:p>
    <w:p w14:paraId="0BDE5F37" w14:textId="77777777" w:rsidR="006C0067" w:rsidRPr="00C8275B" w:rsidRDefault="00DE49BA" w:rsidP="00205A13">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 xml:space="preserve">  </w:t>
      </w:r>
      <w:r w:rsidR="00D85BE3" w:rsidRPr="00C8275B">
        <w:rPr>
          <w:rFonts w:ascii="Times New Roman" w:hAnsi="Times New Roman" w:cs="Times New Roman"/>
          <w:b/>
          <w:bCs/>
          <w:spacing w:val="-3"/>
          <w:sz w:val="22"/>
          <w:szCs w:val="22"/>
          <w:lang w:val="es-ES_tradnl" w:eastAsia="es-ES_tradnl"/>
        </w:rPr>
        <w:t>4.6</w:t>
      </w:r>
      <w:r w:rsidR="00205A13"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lang w:val="es-ES_tradnl" w:eastAsia="es-ES_tradnl"/>
        </w:rPr>
        <w:t>Ingresos y gastos</w:t>
      </w:r>
      <w:r w:rsidR="00FF7F64" w:rsidRPr="00C8275B">
        <w:rPr>
          <w:rFonts w:ascii="Times New Roman" w:hAnsi="Times New Roman" w:cs="Times New Roman"/>
          <w:b/>
          <w:bCs/>
          <w:spacing w:val="-3"/>
          <w:sz w:val="22"/>
          <w:szCs w:val="22"/>
          <w:lang w:val="es-ES_tradnl" w:eastAsia="es-ES_tradnl"/>
        </w:rPr>
        <w:t>:</w:t>
      </w:r>
    </w:p>
    <w:p w14:paraId="6CF77820" w14:textId="77777777" w:rsidR="006C0067" w:rsidRPr="00C8275B" w:rsidRDefault="006C0067" w:rsidP="000A2E24">
      <w:pPr>
        <w:shd w:val="clear" w:color="auto" w:fill="FFFFFF"/>
        <w:spacing w:before="101"/>
        <w:ind w:left="720" w:right="14"/>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ingresos y gastos se imputan en función del principio del devengo, es decir, cuando se </w:t>
      </w:r>
      <w:r w:rsidRPr="00C8275B">
        <w:rPr>
          <w:rFonts w:ascii="Times New Roman" w:hAnsi="Times New Roman" w:cs="Times New Roman"/>
          <w:spacing w:val="-2"/>
          <w:sz w:val="22"/>
          <w:szCs w:val="22"/>
          <w:lang w:val="es-ES_tradnl" w:eastAsia="es-ES_tradnl"/>
        </w:rPr>
        <w:t xml:space="preserve">produce la corriente real de bienes y servicios que los mismos representan, con independencia del </w:t>
      </w:r>
      <w:r w:rsidRPr="00C8275B">
        <w:rPr>
          <w:rFonts w:ascii="Times New Roman" w:hAnsi="Times New Roman" w:cs="Times New Roman"/>
          <w:spacing w:val="-3"/>
          <w:sz w:val="22"/>
          <w:szCs w:val="22"/>
          <w:lang w:val="es-ES_tradnl" w:eastAsia="es-ES_tradnl"/>
        </w:rPr>
        <w:t xml:space="preserve">momento en que se produzca la corriente monetaria o financiera derivada de ellos. Concretamente, </w:t>
      </w:r>
      <w:r w:rsidRPr="00C8275B">
        <w:rPr>
          <w:rFonts w:ascii="Times New Roman" w:hAnsi="Times New Roman" w:cs="Times New Roman"/>
          <w:sz w:val="22"/>
          <w:szCs w:val="22"/>
          <w:lang w:val="es-ES_tradnl" w:eastAsia="es-ES_tradnl"/>
        </w:rPr>
        <w:t xml:space="preserve">los ingresos se calculan al valor razonable de la contraprestación a recibir y representan los </w:t>
      </w:r>
      <w:r w:rsidRPr="00C8275B">
        <w:rPr>
          <w:rFonts w:ascii="Times New Roman" w:hAnsi="Times New Roman" w:cs="Times New Roman"/>
          <w:spacing w:val="-2"/>
          <w:sz w:val="22"/>
          <w:szCs w:val="22"/>
          <w:lang w:val="es-ES_tradnl" w:eastAsia="es-ES_tradnl"/>
        </w:rPr>
        <w:t xml:space="preserve">importes a cobrar por los bienes entregados y los servicios prestados en el marco ordinario de la </w:t>
      </w:r>
      <w:r w:rsidRPr="00C8275B">
        <w:rPr>
          <w:rFonts w:ascii="Times New Roman" w:hAnsi="Times New Roman" w:cs="Times New Roman"/>
          <w:sz w:val="22"/>
          <w:szCs w:val="22"/>
          <w:lang w:val="es-ES_tradnl" w:eastAsia="es-ES_tradnl"/>
        </w:rPr>
        <w:t>actividad, deducidos los descuentos e impuestos.</w:t>
      </w:r>
    </w:p>
    <w:p w14:paraId="6CC857D6" w14:textId="77777777" w:rsidR="00B80766" w:rsidRPr="00C8275B" w:rsidRDefault="00B80766" w:rsidP="00E60B2C">
      <w:pPr>
        <w:shd w:val="clear" w:color="auto" w:fill="FFFFFF"/>
        <w:spacing w:before="101"/>
        <w:ind w:left="720" w:right="14"/>
        <w:jc w:val="both"/>
        <w:rPr>
          <w:rFonts w:ascii="Times New Roman" w:hAnsi="Times New Roman" w:cs="Times New Roman"/>
          <w:sz w:val="22"/>
          <w:szCs w:val="22"/>
          <w:lang w:val="es-ES_tradnl" w:eastAsia="es-ES_tradnl"/>
        </w:rPr>
      </w:pPr>
    </w:p>
    <w:p w14:paraId="5CDEA274" w14:textId="77777777" w:rsidR="006C0067" w:rsidRPr="00C8275B" w:rsidRDefault="006C0067" w:rsidP="00275D08">
      <w:pPr>
        <w:shd w:val="clear" w:color="auto" w:fill="FFFFFF"/>
        <w:ind w:left="720" w:right="11"/>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z w:val="22"/>
          <w:szCs w:val="22"/>
          <w:lang w:val="es-ES_tradnl" w:eastAsia="es-ES_tradnl"/>
        </w:rPr>
        <w:t xml:space="preserve">Los ingresos por intereses se devengan siguiendo un criterio financiero temporal, en </w:t>
      </w:r>
      <w:r w:rsidRPr="00C8275B">
        <w:rPr>
          <w:rFonts w:ascii="Times New Roman" w:hAnsi="Times New Roman" w:cs="Times New Roman"/>
          <w:spacing w:val="-3"/>
          <w:sz w:val="22"/>
          <w:szCs w:val="22"/>
          <w:lang w:val="es-ES_tradnl" w:eastAsia="es-ES_tradnl"/>
        </w:rPr>
        <w:t>función del principal pendiente de pago y el tipo de interés efectivo aplicable.</w:t>
      </w:r>
    </w:p>
    <w:p w14:paraId="640B23C4" w14:textId="77777777" w:rsidR="00275D08" w:rsidRPr="00C8275B" w:rsidRDefault="00275D08" w:rsidP="00275D08">
      <w:pPr>
        <w:shd w:val="clear" w:color="auto" w:fill="FFFFFF"/>
        <w:ind w:left="720" w:right="11"/>
        <w:jc w:val="both"/>
        <w:rPr>
          <w:rFonts w:ascii="Times New Roman" w:hAnsi="Times New Roman" w:cs="Times New Roman"/>
          <w:sz w:val="22"/>
          <w:szCs w:val="22"/>
        </w:rPr>
      </w:pPr>
    </w:p>
    <w:p w14:paraId="1A67F810" w14:textId="77777777" w:rsidR="006C0067" w:rsidRPr="00C8275B" w:rsidRDefault="006C0067" w:rsidP="00275D08">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w:t>
      </w:r>
      <w:r w:rsidR="00D85BE3" w:rsidRPr="00C8275B">
        <w:rPr>
          <w:rFonts w:ascii="Times New Roman" w:hAnsi="Times New Roman" w:cs="Times New Roman"/>
          <w:spacing w:val="-3"/>
          <w:sz w:val="22"/>
          <w:szCs w:val="22"/>
          <w:lang w:val="es-ES_tradnl" w:eastAsia="es-ES_tradnl"/>
        </w:rPr>
        <w:t>Ganancias Abreviada, las</w:t>
      </w:r>
      <w:r w:rsidRPr="00C8275B">
        <w:rPr>
          <w:rFonts w:ascii="Times New Roman" w:hAnsi="Times New Roman" w:cs="Times New Roman"/>
          <w:spacing w:val="-3"/>
          <w:sz w:val="22"/>
          <w:szCs w:val="22"/>
          <w:lang w:val="es-ES_tradnl" w:eastAsia="es-ES_tradnl"/>
        </w:rPr>
        <w:t xml:space="preserve"> Transferencias corrientes y Subvenciones procedentes del socio único el Excmo. Ayuntamiento de Las Palmas de Gran Canaria, habida cuenta de que dichas transferencias no se destinan exclusivamente a financiar gastos de funcionamiento de la Sociedad.</w:t>
      </w:r>
    </w:p>
    <w:p w14:paraId="21A439D5" w14:textId="77777777" w:rsidR="00275D08" w:rsidRPr="00C8275B" w:rsidRDefault="00275D08" w:rsidP="00275D08">
      <w:pPr>
        <w:shd w:val="clear" w:color="auto" w:fill="FFFFFF"/>
        <w:ind w:left="720" w:right="4"/>
        <w:jc w:val="both"/>
        <w:rPr>
          <w:rFonts w:ascii="Times New Roman" w:hAnsi="Times New Roman" w:cs="Times New Roman"/>
          <w:spacing w:val="-3"/>
          <w:sz w:val="22"/>
          <w:szCs w:val="22"/>
          <w:lang w:val="es-ES_tradnl" w:eastAsia="es-ES_tradnl"/>
        </w:rPr>
      </w:pPr>
    </w:p>
    <w:p w14:paraId="344B66D0" w14:textId="77777777" w:rsidR="00B459B2" w:rsidRPr="00C8275B" w:rsidRDefault="00B459B2" w:rsidP="00B459B2">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color w:val="0000FF"/>
          <w:spacing w:val="-3"/>
          <w:sz w:val="22"/>
          <w:szCs w:val="22"/>
          <w:lang w:val="es-ES_tradnl" w:eastAsia="es-ES_tradnl"/>
        </w:rPr>
        <w:t xml:space="preserve">   </w:t>
      </w:r>
      <w:r w:rsidRPr="00C8275B">
        <w:rPr>
          <w:rFonts w:ascii="Times New Roman" w:hAnsi="Times New Roman" w:cs="Times New Roman"/>
          <w:b/>
          <w:bCs/>
          <w:spacing w:val="-3"/>
          <w:sz w:val="22"/>
          <w:szCs w:val="22"/>
          <w:lang w:val="es-ES_tradnl" w:eastAsia="es-ES_tradnl"/>
        </w:rPr>
        <w:t>4.7. Provisiones y pasivos contingentes:</w:t>
      </w:r>
    </w:p>
    <w:p w14:paraId="4BB40983" w14:textId="77777777" w:rsidR="00205A13" w:rsidRPr="00C8275B" w:rsidRDefault="00205A13" w:rsidP="00B459B2">
      <w:pPr>
        <w:shd w:val="clear" w:color="auto" w:fill="FFFFFF"/>
        <w:ind w:left="720" w:right="4"/>
        <w:jc w:val="both"/>
        <w:rPr>
          <w:rFonts w:ascii="Times New Roman" w:hAnsi="Times New Roman" w:cs="Times New Roman"/>
          <w:spacing w:val="-3"/>
          <w:sz w:val="22"/>
          <w:szCs w:val="22"/>
          <w:lang w:val="es-ES_tradnl" w:eastAsia="es-ES_tradnl"/>
        </w:rPr>
      </w:pPr>
    </w:p>
    <w:p w14:paraId="54DDB929" w14:textId="66D861CE"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Las provisiones para litigios u otros riesgos se reconocen cuando la sociedad tiene una obligación presente, ya sea legal o explícita, como resultado de sucesos pasados, es probable que vaya a ser necesaria una salida de recursos para liquidar la obligación y el importe se puede estimar de forma fiable.</w:t>
      </w:r>
    </w:p>
    <w:p w14:paraId="59153A2D" w14:textId="77777777"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p>
    <w:p w14:paraId="1E65B9D9" w14:textId="77777777" w:rsidR="00B459B2" w:rsidRPr="00C8275B" w:rsidRDefault="00B459B2" w:rsidP="00B459B2">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Las provisiones con vencimiento inferior o igual a un año, se registran por el nominal, no reconociendo el efecto financiero por ser no significativo.</w:t>
      </w:r>
    </w:p>
    <w:p w14:paraId="3F978A15" w14:textId="77777777"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14:paraId="33990FB6" w14:textId="162CFDD8"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En el presente ejercicio, los posibles pasivos contingentes han sido considerados no significativos</w:t>
      </w:r>
    </w:p>
    <w:p w14:paraId="11FC88EB" w14:textId="77777777" w:rsidR="00B459B2" w:rsidRPr="00C8275B" w:rsidRDefault="00B459B2" w:rsidP="00275D08">
      <w:pPr>
        <w:shd w:val="clear" w:color="auto" w:fill="FFFFFF"/>
        <w:ind w:left="720" w:right="4"/>
        <w:jc w:val="both"/>
        <w:rPr>
          <w:rFonts w:ascii="Times New Roman" w:hAnsi="Times New Roman" w:cs="Times New Roman"/>
          <w:spacing w:val="-3"/>
          <w:sz w:val="22"/>
          <w:szCs w:val="22"/>
          <w:lang w:val="es-ES_tradnl" w:eastAsia="es-ES_tradnl"/>
        </w:rPr>
      </w:pPr>
    </w:p>
    <w:p w14:paraId="201D6402" w14:textId="77777777" w:rsidR="006C0067" w:rsidRPr="00C8275B" w:rsidRDefault="00E60B2C" w:rsidP="00275D08">
      <w:pPr>
        <w:shd w:val="clear" w:color="auto" w:fill="FFFFFF"/>
        <w:ind w:firstLine="551"/>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 xml:space="preserve">   </w:t>
      </w:r>
      <w:r w:rsidR="00754F30"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.8. Subvenciones,</w:t>
      </w:r>
      <w:r w:rsidR="00FF7F64" w:rsidRPr="00C8275B">
        <w:rPr>
          <w:rFonts w:ascii="Times New Roman" w:hAnsi="Times New Roman" w:cs="Times New Roman"/>
          <w:b/>
          <w:bCs/>
          <w:spacing w:val="-3"/>
          <w:sz w:val="22"/>
          <w:szCs w:val="22"/>
          <w:lang w:val="es-ES_tradnl" w:eastAsia="es-ES_tradnl"/>
        </w:rPr>
        <w:t xml:space="preserve"> donaciones y legados recibidos:</w:t>
      </w:r>
    </w:p>
    <w:p w14:paraId="229262E4" w14:textId="77777777" w:rsidR="006C0067" w:rsidRPr="00C8275B" w:rsidRDefault="006C0067" w:rsidP="00275D08">
      <w:pPr>
        <w:shd w:val="clear" w:color="auto" w:fill="FFFFFF"/>
        <w:ind w:left="720" w:firstLine="720"/>
        <w:jc w:val="both"/>
        <w:rPr>
          <w:rFonts w:ascii="Times New Roman" w:hAnsi="Times New Roman" w:cs="Times New Roman"/>
          <w:b/>
          <w:bCs/>
          <w:spacing w:val="-3"/>
          <w:sz w:val="22"/>
          <w:szCs w:val="22"/>
          <w:lang w:val="es-ES_tradnl" w:eastAsia="es-ES_tradnl"/>
        </w:rPr>
      </w:pPr>
    </w:p>
    <w:p w14:paraId="64E88736"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bCs/>
          <w:spacing w:val="-3"/>
          <w:sz w:val="22"/>
          <w:szCs w:val="22"/>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C8275B">
        <w:rPr>
          <w:rFonts w:ascii="Times New Roman" w:hAnsi="Times New Roman" w:cs="Times New Roman"/>
          <w:sz w:val="22"/>
          <w:szCs w:val="22"/>
          <w:lang w:val="es-ES_tradnl" w:eastAsia="es-ES_tradnl"/>
        </w:rPr>
        <w:t>subvencionados.</w:t>
      </w:r>
    </w:p>
    <w:p w14:paraId="47982046" w14:textId="77777777" w:rsidR="00D85BE3" w:rsidRPr="00C8275B" w:rsidRDefault="00D85BE3" w:rsidP="00D85BE3">
      <w:pPr>
        <w:shd w:val="clear" w:color="auto" w:fill="FFFFFF"/>
        <w:ind w:left="720" w:right="4"/>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w:t>
      </w:r>
      <w:r w:rsidRPr="00C8275B">
        <w:rPr>
          <w:rFonts w:ascii="Times New Roman" w:hAnsi="Times New Roman" w:cs="Times New Roman"/>
          <w:spacing w:val="-3"/>
          <w:sz w:val="22"/>
          <w:szCs w:val="22"/>
          <w:lang w:val="es-ES_tradnl" w:eastAsia="es-ES_tradnl"/>
        </w:rPr>
        <w:t>Ganancias Abreviada, las Transferencias corrientes y Subvenciones procedentes del socio único el Excmo. Ayuntamiento de Las Palmas de Gran Canaria, habida</w:t>
      </w:r>
      <w:r w:rsidRPr="00C8275B">
        <w:rPr>
          <w:rFonts w:ascii="Times New Roman" w:hAnsi="Times New Roman" w:cs="Times New Roman"/>
          <w:color w:val="0000FF"/>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cuenta de que dichas transferencias no se destinan exclusivamente a financiar gastos de funcionamiento de la Sociedad.</w:t>
      </w:r>
    </w:p>
    <w:p w14:paraId="321AE85C" w14:textId="77777777" w:rsidR="00275D08" w:rsidRPr="00C8275B" w:rsidRDefault="00275D08" w:rsidP="00275D08">
      <w:pPr>
        <w:shd w:val="clear" w:color="auto" w:fill="FFFFFF"/>
        <w:ind w:left="709"/>
        <w:jc w:val="both"/>
        <w:rPr>
          <w:rFonts w:ascii="Times New Roman" w:hAnsi="Times New Roman" w:cs="Times New Roman"/>
          <w:sz w:val="22"/>
          <w:szCs w:val="22"/>
          <w:lang w:val="es-ES_tradnl" w:eastAsia="es-ES_tradnl"/>
        </w:rPr>
      </w:pPr>
    </w:p>
    <w:p w14:paraId="4D50DD79"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324D52CF" w14:textId="77777777" w:rsidR="00B459B2" w:rsidRPr="00C8275B" w:rsidRDefault="00B459B2" w:rsidP="00275D08">
      <w:pPr>
        <w:shd w:val="clear" w:color="auto" w:fill="FFFFFF"/>
        <w:ind w:left="709"/>
        <w:jc w:val="both"/>
        <w:rPr>
          <w:rFonts w:ascii="Times New Roman" w:hAnsi="Times New Roman" w:cs="Times New Roman"/>
          <w:color w:val="0000FF"/>
          <w:sz w:val="22"/>
          <w:szCs w:val="22"/>
          <w:lang w:val="es-ES_tradnl" w:eastAsia="es-ES_tradnl"/>
        </w:rPr>
      </w:pPr>
    </w:p>
    <w:p w14:paraId="5B6E9F99" w14:textId="77777777" w:rsidR="00B459B2" w:rsidRPr="00C8275B" w:rsidRDefault="00B459B2"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lastRenderedPageBreak/>
        <w:t>Cesión de bienes de dominio público</w:t>
      </w:r>
    </w:p>
    <w:p w14:paraId="3DED869A" w14:textId="77777777" w:rsidR="00205A13" w:rsidRPr="00C8275B" w:rsidRDefault="00205A13" w:rsidP="00B459B2">
      <w:pPr>
        <w:shd w:val="clear" w:color="auto" w:fill="FFFFFF"/>
        <w:ind w:left="720" w:right="29"/>
        <w:jc w:val="both"/>
        <w:rPr>
          <w:rFonts w:ascii="Times New Roman" w:hAnsi="Times New Roman" w:cs="Times New Roman"/>
          <w:b/>
          <w:spacing w:val="-3"/>
          <w:sz w:val="22"/>
          <w:szCs w:val="22"/>
          <w:u w:val="single"/>
          <w:lang w:val="es-ES_tradnl" w:eastAsia="es-ES_tradnl"/>
        </w:rPr>
      </w:pPr>
    </w:p>
    <w:p w14:paraId="5C518980" w14:textId="77777777" w:rsidR="00B459B2" w:rsidRPr="00C8275B" w:rsidRDefault="00B459B2" w:rsidP="00B459B2">
      <w:pPr>
        <w:shd w:val="clear" w:color="auto" w:fill="FFFFFF"/>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 exclusivamente el derecho de uso sobre tales bienes, sin exigencia de contraprestación”.</w:t>
      </w:r>
    </w:p>
    <w:p w14:paraId="3F14DF3F" w14:textId="77777777" w:rsidR="00B459B2" w:rsidRPr="00C8275B" w:rsidRDefault="00B459B2" w:rsidP="00B459B2">
      <w:pPr>
        <w:shd w:val="clear" w:color="auto" w:fill="FFFFFF"/>
        <w:spacing w:before="223"/>
        <w:ind w:left="720" w:right="2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Dado que el plazo acordado por la cesión se extiende a la práctica totalidad de la vida económica de los bienes cedidos, se ha considerado esta circunstancia para calificar el derecho de uso de acuerdo con la naturaleza del bien que se recibe, en su caso, un inmovilizado material.</w:t>
      </w:r>
    </w:p>
    <w:p w14:paraId="1EC5555F" w14:textId="77777777" w:rsidR="00205A13" w:rsidRPr="00C8275B" w:rsidRDefault="00205A13" w:rsidP="00205A13">
      <w:pPr>
        <w:shd w:val="clear" w:color="auto" w:fill="FFFFFF"/>
        <w:ind w:left="709"/>
        <w:jc w:val="both"/>
        <w:rPr>
          <w:rFonts w:ascii="Times New Roman" w:hAnsi="Times New Roman" w:cs="Times New Roman"/>
          <w:color w:val="0000FF"/>
          <w:sz w:val="22"/>
          <w:szCs w:val="22"/>
          <w:lang w:val="es-ES_tradnl" w:eastAsia="es-ES_tradnl"/>
        </w:rPr>
      </w:pPr>
    </w:p>
    <w:p w14:paraId="1368DD0E" w14:textId="77777777" w:rsidR="00DE49BA" w:rsidRPr="00C8275B" w:rsidRDefault="00754F30" w:rsidP="00205A13">
      <w:pPr>
        <w:shd w:val="clear" w:color="auto" w:fill="FFFFFF"/>
        <w:ind w:left="709"/>
        <w:jc w:val="both"/>
        <w:rPr>
          <w:rFonts w:ascii="Times New Roman" w:hAnsi="Times New Roman" w:cs="Times New Roman"/>
          <w:sz w:val="22"/>
          <w:szCs w:val="22"/>
        </w:rPr>
      </w:pPr>
      <w:proofErr w:type="gramStart"/>
      <w:r w:rsidRPr="00C8275B">
        <w:rPr>
          <w:rFonts w:ascii="Times New Roman" w:hAnsi="Times New Roman" w:cs="Times New Roman"/>
          <w:b/>
          <w:bCs/>
          <w:spacing w:val="-3"/>
          <w:sz w:val="22"/>
          <w:szCs w:val="22"/>
          <w:lang w:val="es-ES_tradnl" w:eastAsia="es-ES_tradnl"/>
        </w:rPr>
        <w:t>4</w:t>
      </w:r>
      <w:r w:rsidR="00DE49BA" w:rsidRPr="00C8275B">
        <w:rPr>
          <w:rFonts w:ascii="Times New Roman" w:hAnsi="Times New Roman" w:cs="Times New Roman"/>
          <w:b/>
          <w:bCs/>
          <w:spacing w:val="-3"/>
          <w:sz w:val="22"/>
          <w:szCs w:val="22"/>
          <w:lang w:val="es-ES_tradnl" w:eastAsia="es-ES_tradnl"/>
        </w:rPr>
        <w:t>.9  Transacciones</w:t>
      </w:r>
      <w:proofErr w:type="gramEnd"/>
      <w:r w:rsidR="00DE49BA" w:rsidRPr="00C8275B">
        <w:rPr>
          <w:rFonts w:ascii="Times New Roman" w:hAnsi="Times New Roman" w:cs="Times New Roman"/>
          <w:b/>
          <w:bCs/>
          <w:spacing w:val="-3"/>
          <w:sz w:val="22"/>
          <w:szCs w:val="22"/>
          <w:lang w:val="es-ES_tradnl" w:eastAsia="es-ES_tradnl"/>
        </w:rPr>
        <w:t xml:space="preserve"> entre partes vinculadas:</w:t>
      </w:r>
    </w:p>
    <w:p w14:paraId="38F516C3" w14:textId="77777777" w:rsidR="00DE49BA" w:rsidRPr="00C8275B" w:rsidRDefault="00DE49BA" w:rsidP="00DE49BA">
      <w:pPr>
        <w:shd w:val="clear" w:color="auto" w:fill="FFFFFF"/>
        <w:spacing w:before="101"/>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operaciones entre empresas del mismo grupo, con independencia del grado de </w:t>
      </w:r>
      <w:r w:rsidRPr="00C8275B">
        <w:rPr>
          <w:rFonts w:ascii="Times New Roman" w:hAnsi="Times New Roman" w:cs="Times New Roman"/>
          <w:spacing w:val="-2"/>
          <w:sz w:val="22"/>
          <w:szCs w:val="22"/>
          <w:lang w:val="es-ES_tradnl" w:eastAsia="es-ES_tradnl"/>
        </w:rPr>
        <w:t xml:space="preserve">vinculación, se contabilizan de acuerdo con las normas generales. Los elementos objeto de las transacciones que se realizan se contabilizan en el momento inicial por su valor razonable. La </w:t>
      </w:r>
      <w:r w:rsidRPr="00C8275B">
        <w:rPr>
          <w:rFonts w:ascii="Times New Roman" w:hAnsi="Times New Roman" w:cs="Times New Roman"/>
          <w:sz w:val="22"/>
          <w:szCs w:val="22"/>
          <w:lang w:val="es-ES_tradnl" w:eastAsia="es-ES_tradnl"/>
        </w:rPr>
        <w:t>valoración posterior se realiza de acuerdo con lo previsto en las normas particulares para las cuentas que corresponda.</w:t>
      </w:r>
    </w:p>
    <w:p w14:paraId="2D7704EB"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4A046930"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Esta norma de valoración afecta a las partes vinculadas que se especifican en las Normas de elaboración de las cuentas anuales 13ª y 15ª del Plan General de Contabilidad. En este sentido:</w:t>
      </w:r>
    </w:p>
    <w:p w14:paraId="26442AA9" w14:textId="77777777" w:rsidR="00754F30" w:rsidRPr="00C8275B" w:rsidRDefault="00754F30" w:rsidP="00754F30">
      <w:pPr>
        <w:pStyle w:val="Default"/>
        <w:ind w:left="709" w:firstLine="426"/>
        <w:jc w:val="both"/>
        <w:rPr>
          <w:rFonts w:ascii="Times New Roman" w:hAnsi="Times New Roman" w:cs="Times New Roman"/>
          <w:color w:val="auto"/>
          <w:sz w:val="22"/>
          <w:szCs w:val="22"/>
          <w:lang w:val="es-ES_tradnl" w:eastAsia="es-ES_tradnl"/>
        </w:rPr>
      </w:pPr>
    </w:p>
    <w:p w14:paraId="20254F2B"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14:paraId="525AD9D2"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026325C9"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14:paraId="30AD30FD"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7F3D30C0" w14:textId="77777777" w:rsidR="00754F30" w:rsidRPr="00C8275B" w:rsidRDefault="00754F30" w:rsidP="00754F30">
      <w:pPr>
        <w:pStyle w:val="Default"/>
        <w:numPr>
          <w:ilvl w:val="0"/>
          <w:numId w:val="14"/>
        </w:numPr>
        <w:ind w:left="1135" w:hanging="426"/>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 xml:space="preserve">Se entenderá que una empresa es </w:t>
      </w:r>
      <w:proofErr w:type="gramStart"/>
      <w:r w:rsidRPr="00C8275B">
        <w:rPr>
          <w:rFonts w:ascii="Times New Roman" w:hAnsi="Times New Roman" w:cs="Times New Roman"/>
          <w:color w:val="auto"/>
          <w:sz w:val="22"/>
          <w:szCs w:val="22"/>
          <w:lang w:val="es-ES_tradnl" w:eastAsia="es-ES_tradnl"/>
        </w:rPr>
        <w:t>multigrupo</w:t>
      </w:r>
      <w:proofErr w:type="gramEnd"/>
      <w:r w:rsidRPr="00C8275B">
        <w:rPr>
          <w:rFonts w:ascii="Times New Roman" w:hAnsi="Times New Roman" w:cs="Times New Roman"/>
          <w:color w:val="auto"/>
          <w:sz w:val="22"/>
          <w:szCs w:val="22"/>
          <w:lang w:val="es-ES_tradnl" w:eastAsia="es-ES_tradnl"/>
        </w:rPr>
        <w:t xml:space="preserve"> cuando esté gestionada conjuntamente por la empresa o alguna o algunas de las empresas del grupo en caso de existir éste, incluidas las entidades o personas físicas dominantes, y uno o varios terceros ajenos al grupo de empresas.</w:t>
      </w:r>
    </w:p>
    <w:p w14:paraId="69843A98" w14:textId="77777777" w:rsidR="00754F30" w:rsidRPr="00C8275B" w:rsidRDefault="00754F30" w:rsidP="00754F30">
      <w:pPr>
        <w:pStyle w:val="Default"/>
        <w:ind w:left="709"/>
        <w:jc w:val="both"/>
        <w:rPr>
          <w:rFonts w:ascii="Times New Roman" w:hAnsi="Times New Roman" w:cs="Times New Roman"/>
          <w:color w:val="auto"/>
          <w:sz w:val="22"/>
          <w:szCs w:val="22"/>
          <w:lang w:val="es-ES_tradnl" w:eastAsia="es-ES_tradnl"/>
        </w:rPr>
      </w:pPr>
    </w:p>
    <w:p w14:paraId="10C8DB5F" w14:textId="77777777" w:rsidR="00754F30" w:rsidRPr="00C8275B" w:rsidRDefault="00754F30" w:rsidP="00754F30">
      <w:pPr>
        <w:pStyle w:val="Default"/>
        <w:numPr>
          <w:ilvl w:val="0"/>
          <w:numId w:val="14"/>
        </w:numPr>
        <w:ind w:left="1069"/>
        <w:jc w:val="both"/>
        <w:rPr>
          <w:rFonts w:ascii="Times New Roman" w:hAnsi="Times New Roman" w:cs="Times New Roman"/>
          <w:color w:val="auto"/>
          <w:sz w:val="22"/>
          <w:szCs w:val="22"/>
          <w:lang w:val="es-ES_tradnl" w:eastAsia="es-ES_tradnl"/>
        </w:rPr>
      </w:pPr>
      <w:r w:rsidRPr="00C8275B">
        <w:rPr>
          <w:rFonts w:ascii="Times New Roman" w:hAnsi="Times New Roman" w:cs="Times New Roman"/>
          <w:color w:val="auto"/>
          <w:sz w:val="22"/>
          <w:szCs w:val="22"/>
          <w:lang w:val="es-ES_tradnl" w:eastAsia="es-ES_tradnl"/>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14:paraId="0494928C" w14:textId="77777777" w:rsidR="00DE49BA" w:rsidRPr="00C8275B" w:rsidRDefault="00DE49BA" w:rsidP="00DE49BA">
      <w:pPr>
        <w:shd w:val="clear" w:color="auto" w:fill="FFFFFF"/>
        <w:spacing w:before="238"/>
        <w:ind w:left="709" w:right="7"/>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Se presumirá, salvo prueba en contrario, que existe influencia significativa cuando la </w:t>
      </w:r>
      <w:r w:rsidRPr="00C8275B">
        <w:rPr>
          <w:rFonts w:ascii="Times New Roman" w:hAnsi="Times New Roman" w:cs="Times New Roman"/>
          <w:spacing w:val="-2"/>
          <w:sz w:val="22"/>
          <w:szCs w:val="22"/>
          <w:lang w:val="es-ES_tradnl" w:eastAsia="es-ES_tradnl"/>
        </w:rPr>
        <w:t xml:space="preserve">empresa o una o varias empresas del grupo, incluidas las entidades o personas físicas dominantes, </w:t>
      </w:r>
      <w:r w:rsidRPr="00C8275B">
        <w:rPr>
          <w:rFonts w:ascii="Times New Roman" w:hAnsi="Times New Roman" w:cs="Times New Roman"/>
          <w:sz w:val="22"/>
          <w:szCs w:val="22"/>
          <w:lang w:val="es-ES_tradnl" w:eastAsia="es-ES_tradnl"/>
        </w:rPr>
        <w:t>posean, al menos, el</w:t>
      </w:r>
      <w:r w:rsidRPr="00C8275B">
        <w:rPr>
          <w:rFonts w:ascii="Times New Roman" w:hAnsi="Times New Roman" w:cs="Times New Roman"/>
          <w:color w:val="0000FF"/>
          <w:sz w:val="22"/>
          <w:szCs w:val="22"/>
          <w:lang w:val="es-ES_tradnl" w:eastAsia="es-ES_tradnl"/>
        </w:rPr>
        <w:t xml:space="preserve"> </w:t>
      </w:r>
      <w:r w:rsidRPr="00C8275B">
        <w:rPr>
          <w:rFonts w:ascii="Times New Roman" w:hAnsi="Times New Roman" w:cs="Times New Roman"/>
          <w:sz w:val="22"/>
          <w:szCs w:val="22"/>
          <w:lang w:val="es-ES_tradnl" w:eastAsia="es-ES_tradnl"/>
        </w:rPr>
        <w:t>20% de los derechos de voto de otra sociedad.</w:t>
      </w:r>
    </w:p>
    <w:p w14:paraId="52C6BFD4" w14:textId="77777777" w:rsidR="00DE49BA" w:rsidRPr="00C8275B" w:rsidRDefault="00DE49BA" w:rsidP="00DE49BA">
      <w:pPr>
        <w:shd w:val="clear" w:color="auto" w:fill="FFFFFF"/>
        <w:spacing w:before="241"/>
        <w:ind w:left="709"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Se entenderá que una empresa es </w:t>
      </w:r>
      <w:proofErr w:type="gramStart"/>
      <w:r w:rsidRPr="00C8275B">
        <w:rPr>
          <w:rFonts w:ascii="Times New Roman" w:hAnsi="Times New Roman" w:cs="Times New Roman"/>
          <w:spacing w:val="-3"/>
          <w:sz w:val="22"/>
          <w:szCs w:val="22"/>
          <w:lang w:val="es-ES_tradnl" w:eastAsia="es-ES_tradnl"/>
        </w:rPr>
        <w:t>multigrupo</w:t>
      </w:r>
      <w:proofErr w:type="gramEnd"/>
      <w:r w:rsidRPr="00C8275B">
        <w:rPr>
          <w:rFonts w:ascii="Times New Roman" w:hAnsi="Times New Roman" w:cs="Times New Roman"/>
          <w:spacing w:val="-3"/>
          <w:sz w:val="22"/>
          <w:szCs w:val="22"/>
          <w:lang w:val="es-ES_tradnl" w:eastAsia="es-ES_tradnl"/>
        </w:rPr>
        <w:t xml:space="preserve"> cuando esté gestionada conjuntamente por la </w:t>
      </w:r>
      <w:r w:rsidRPr="00C8275B">
        <w:rPr>
          <w:rFonts w:ascii="Times New Roman" w:hAnsi="Times New Roman" w:cs="Times New Roman"/>
          <w:sz w:val="22"/>
          <w:szCs w:val="22"/>
          <w:lang w:val="es-ES_tradnl" w:eastAsia="es-ES_tradnl"/>
        </w:rPr>
        <w:t xml:space="preserve">empresa o alguna o algunas de las empresas del grupo en caso de existir éste, incluidas las </w:t>
      </w:r>
      <w:r w:rsidRPr="00C8275B">
        <w:rPr>
          <w:rFonts w:ascii="Times New Roman" w:hAnsi="Times New Roman" w:cs="Times New Roman"/>
          <w:spacing w:val="-3"/>
          <w:sz w:val="22"/>
          <w:szCs w:val="22"/>
          <w:lang w:val="es-ES_tradnl" w:eastAsia="es-ES_tradnl"/>
        </w:rPr>
        <w:t>entidades o personas físicas dominantes, y uno o varios terceros ajenos al grupo de empresas.</w:t>
      </w:r>
    </w:p>
    <w:p w14:paraId="2DB9FFFC" w14:textId="77777777" w:rsidR="00DE49BA" w:rsidRPr="00C8275B" w:rsidRDefault="00DE49BA" w:rsidP="00DE49BA">
      <w:pPr>
        <w:shd w:val="clear" w:color="auto" w:fill="FFFFFF"/>
        <w:spacing w:before="227"/>
        <w:ind w:left="709"/>
        <w:jc w:val="both"/>
        <w:rPr>
          <w:rFonts w:ascii="Times New Roman" w:hAnsi="Times New Roman" w:cs="Times New Roman"/>
          <w:sz w:val="22"/>
          <w:szCs w:val="22"/>
          <w:lang w:val="es-ES_tradnl" w:eastAsia="es-ES_tradnl"/>
        </w:rPr>
      </w:pPr>
      <w:r w:rsidRPr="00C8275B">
        <w:rPr>
          <w:rFonts w:ascii="Times New Roman" w:hAnsi="Times New Roman" w:cs="Times New Roman"/>
          <w:spacing w:val="-2"/>
          <w:sz w:val="22"/>
          <w:szCs w:val="22"/>
          <w:lang w:val="es-ES_tradnl" w:eastAsia="es-ES_tradnl"/>
        </w:rPr>
        <w:t>La sociedad considera como partes vinculadas a las sociedades en donde existen</w:t>
      </w:r>
      <w:r w:rsidRPr="00C8275B">
        <w:rPr>
          <w:rFonts w:ascii="Times New Roman" w:hAnsi="Times New Roman" w:cs="Times New Roman"/>
          <w:sz w:val="22"/>
          <w:szCs w:val="22"/>
          <w:lang w:val="es-ES_tradnl" w:eastAsia="es-ES_tradnl"/>
        </w:rPr>
        <w:t xml:space="preserve"> vínculos de gestión y participación.</w:t>
      </w:r>
    </w:p>
    <w:p w14:paraId="539E2376" w14:textId="77777777" w:rsidR="006A0553" w:rsidRPr="00C8275B" w:rsidRDefault="006A0553" w:rsidP="00275D08">
      <w:pPr>
        <w:shd w:val="clear" w:color="auto" w:fill="FFFFFF"/>
        <w:ind w:left="709"/>
        <w:jc w:val="both"/>
        <w:rPr>
          <w:rFonts w:ascii="Times New Roman" w:hAnsi="Times New Roman" w:cs="Times New Roman"/>
          <w:sz w:val="22"/>
          <w:szCs w:val="22"/>
          <w:lang w:val="es-ES_tradnl" w:eastAsia="es-ES_tradnl"/>
        </w:rPr>
      </w:pPr>
    </w:p>
    <w:p w14:paraId="74C3598E" w14:textId="119040CB" w:rsidR="006A0553" w:rsidRPr="00C8275B" w:rsidRDefault="006E4464"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Las transferencias corrientes y subvenciones recibidas del socio único </w:t>
      </w:r>
      <w:r w:rsidR="00B459B2" w:rsidRPr="00C8275B">
        <w:rPr>
          <w:rFonts w:ascii="Times New Roman" w:hAnsi="Times New Roman" w:cs="Times New Roman"/>
          <w:sz w:val="22"/>
          <w:szCs w:val="22"/>
          <w:lang w:val="es-ES_tradnl" w:eastAsia="es-ES_tradnl"/>
        </w:rPr>
        <w:t xml:space="preserve">Excmo. Ayuntamiento de Las Palmas de Gran Canaria </w:t>
      </w:r>
      <w:r w:rsidRPr="00C8275B">
        <w:rPr>
          <w:rFonts w:ascii="Times New Roman" w:hAnsi="Times New Roman" w:cs="Times New Roman"/>
          <w:sz w:val="22"/>
          <w:szCs w:val="22"/>
          <w:lang w:val="es-ES_tradnl" w:eastAsia="es-ES_tradnl"/>
        </w:rPr>
        <w:t xml:space="preserve">y detalladas en la </w:t>
      </w:r>
      <w:r w:rsidR="00B459B2" w:rsidRPr="00C8275B">
        <w:rPr>
          <w:rFonts w:ascii="Times New Roman" w:hAnsi="Times New Roman" w:cs="Times New Roman"/>
          <w:sz w:val="22"/>
          <w:szCs w:val="22"/>
          <w:lang w:val="es-ES_tradnl" w:eastAsia="es-ES_tradnl"/>
        </w:rPr>
        <w:t>Memoria</w:t>
      </w:r>
      <w:r w:rsidRPr="00C8275B">
        <w:rPr>
          <w:rFonts w:ascii="Times New Roman" w:hAnsi="Times New Roman" w:cs="Times New Roman"/>
          <w:sz w:val="22"/>
          <w:szCs w:val="22"/>
          <w:lang w:val="es-ES_tradnl" w:eastAsia="es-ES_tradnl"/>
        </w:rPr>
        <w:t xml:space="preserve"> tienen el tratamiento contable de subvenciones</w:t>
      </w:r>
      <w:r w:rsidR="00B459B2" w:rsidRPr="00C8275B">
        <w:rPr>
          <w:rFonts w:ascii="Times New Roman" w:hAnsi="Times New Roman" w:cs="Times New Roman"/>
          <w:sz w:val="22"/>
          <w:szCs w:val="22"/>
          <w:lang w:val="es-ES_tradnl" w:eastAsia="es-ES_tradnl"/>
        </w:rPr>
        <w:t xml:space="preserve"> de explotación</w:t>
      </w:r>
      <w:r w:rsidRPr="00C8275B">
        <w:rPr>
          <w:rFonts w:ascii="Times New Roman" w:hAnsi="Times New Roman" w:cs="Times New Roman"/>
          <w:sz w:val="22"/>
          <w:szCs w:val="22"/>
          <w:lang w:val="es-ES_tradnl" w:eastAsia="es-ES_tradnl"/>
        </w:rPr>
        <w:t xml:space="preserve">, no tienen la consideración de operación vinculada sujeta a la normativa de precios de </w:t>
      </w:r>
      <w:r w:rsidRPr="00C8275B">
        <w:rPr>
          <w:rFonts w:ascii="Times New Roman" w:hAnsi="Times New Roman" w:cs="Times New Roman"/>
          <w:sz w:val="22"/>
          <w:szCs w:val="22"/>
          <w:lang w:val="es-ES_tradnl" w:eastAsia="es-ES_tradnl"/>
        </w:rPr>
        <w:lastRenderedPageBreak/>
        <w:t>transferencia que requieren una valoración a precios de mercado, tal y como exige la normativa tributaria al respecto.</w:t>
      </w:r>
    </w:p>
    <w:p w14:paraId="054F87D0" w14:textId="77777777" w:rsidR="006E4464" w:rsidRPr="00C8275B" w:rsidRDefault="006E4464" w:rsidP="00275D08">
      <w:pPr>
        <w:shd w:val="clear" w:color="auto" w:fill="FFFFFF"/>
        <w:ind w:left="709"/>
        <w:jc w:val="both"/>
        <w:rPr>
          <w:rFonts w:ascii="Times New Roman" w:hAnsi="Times New Roman" w:cs="Times New Roman"/>
          <w:color w:val="0000FF"/>
          <w:sz w:val="22"/>
          <w:szCs w:val="22"/>
          <w:lang w:val="es-ES_tradnl" w:eastAsia="es-ES_tradnl"/>
        </w:rPr>
      </w:pPr>
    </w:p>
    <w:p w14:paraId="5719E757" w14:textId="77777777" w:rsidR="006C0067" w:rsidRPr="00C8275B" w:rsidRDefault="005E7319" w:rsidP="00275D08">
      <w:pPr>
        <w:shd w:val="clear" w:color="auto" w:fill="FFFFFF"/>
        <w:ind w:left="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4</w:t>
      </w:r>
      <w:r w:rsidR="006C0067" w:rsidRPr="00C8275B">
        <w:rPr>
          <w:rFonts w:ascii="Times New Roman" w:hAnsi="Times New Roman" w:cs="Times New Roman"/>
          <w:b/>
          <w:bCs/>
          <w:spacing w:val="-3"/>
          <w:sz w:val="22"/>
          <w:szCs w:val="22"/>
          <w:lang w:val="es-ES_tradnl" w:eastAsia="es-ES_tradnl"/>
        </w:rPr>
        <w:t>.10 Clasificación a corriente y no corriente</w:t>
      </w:r>
      <w:r w:rsidR="00FF7F64" w:rsidRPr="00C8275B">
        <w:rPr>
          <w:rFonts w:ascii="Times New Roman" w:hAnsi="Times New Roman" w:cs="Times New Roman"/>
          <w:b/>
          <w:bCs/>
          <w:spacing w:val="-3"/>
          <w:sz w:val="22"/>
          <w:szCs w:val="22"/>
          <w:lang w:val="es-ES_tradnl" w:eastAsia="es-ES_tradnl"/>
        </w:rPr>
        <w:t>:</w:t>
      </w:r>
    </w:p>
    <w:p w14:paraId="17CCD7F7" w14:textId="77777777" w:rsidR="00275D08" w:rsidRPr="00C8275B" w:rsidRDefault="00275D08" w:rsidP="00275D08">
      <w:pPr>
        <w:shd w:val="clear" w:color="auto" w:fill="FFFFFF"/>
        <w:ind w:left="709"/>
        <w:jc w:val="both"/>
        <w:rPr>
          <w:rFonts w:ascii="Times New Roman" w:hAnsi="Times New Roman" w:cs="Times New Roman"/>
          <w:sz w:val="22"/>
          <w:szCs w:val="22"/>
        </w:rPr>
      </w:pPr>
    </w:p>
    <w:p w14:paraId="2885CCAA" w14:textId="77777777" w:rsidR="006C0067" w:rsidRPr="00C8275B" w:rsidRDefault="006C0067" w:rsidP="00275D08">
      <w:pPr>
        <w:shd w:val="clear" w:color="auto" w:fill="FFFFFF"/>
        <w:ind w:left="709"/>
        <w:jc w:val="both"/>
        <w:rPr>
          <w:rFonts w:ascii="Times New Roman" w:hAnsi="Times New Roman" w:cs="Times New Roman"/>
          <w:sz w:val="22"/>
          <w:szCs w:val="22"/>
          <w:lang w:val="es-ES_tradnl" w:eastAsia="es-ES_tradnl"/>
        </w:rPr>
      </w:pPr>
      <w:r w:rsidRPr="00C8275B">
        <w:rPr>
          <w:rFonts w:ascii="Times New Roman" w:hAnsi="Times New Roman" w:cs="Times New Roman"/>
          <w:spacing w:val="-1"/>
          <w:sz w:val="22"/>
          <w:szCs w:val="22"/>
          <w:lang w:val="es-ES_tradnl" w:eastAsia="es-ES_tradnl"/>
        </w:rPr>
        <w:t xml:space="preserve">La clasificación entre el corriente y el no corriente se realiza teniendo en cuenta el </w:t>
      </w:r>
      <w:r w:rsidRPr="00C8275B">
        <w:rPr>
          <w:rFonts w:ascii="Times New Roman" w:hAnsi="Times New Roman" w:cs="Times New Roman"/>
          <w:spacing w:val="-3"/>
          <w:sz w:val="22"/>
          <w:szCs w:val="22"/>
          <w:lang w:val="es-ES_tradnl" w:eastAsia="es-ES_tradnl"/>
        </w:rPr>
        <w:t xml:space="preserve">plazo previsto para el vencimiento, enajenación o cancelación de las obligaciones y derechos de la </w:t>
      </w:r>
      <w:r w:rsidRPr="00C8275B">
        <w:rPr>
          <w:rFonts w:ascii="Times New Roman" w:hAnsi="Times New Roman" w:cs="Times New Roman"/>
          <w:sz w:val="22"/>
          <w:szCs w:val="22"/>
          <w:lang w:val="es-ES_tradnl" w:eastAsia="es-ES_tradnl"/>
        </w:rPr>
        <w:t>empresa. Se considera no corriente cuando es superior a un año contado a partir de la fecha de cierre del ejercicio.</w:t>
      </w:r>
    </w:p>
    <w:p w14:paraId="3009567F" w14:textId="62FA1D72" w:rsidR="006D11F1" w:rsidRDefault="006D11F1" w:rsidP="0068692D">
      <w:pPr>
        <w:shd w:val="clear" w:color="auto" w:fill="FFFFFF"/>
        <w:spacing w:before="101"/>
        <w:jc w:val="both"/>
        <w:rPr>
          <w:rFonts w:ascii="Times New Roman" w:hAnsi="Times New Roman" w:cs="Times New Roman"/>
          <w:sz w:val="10"/>
          <w:szCs w:val="22"/>
          <w:lang w:val="es-ES_tradnl" w:eastAsia="es-ES_tradnl"/>
        </w:rPr>
      </w:pPr>
    </w:p>
    <w:p w14:paraId="30489C38" w14:textId="77777777" w:rsidR="000476D4" w:rsidRPr="00C8275B" w:rsidRDefault="000476D4" w:rsidP="0068692D">
      <w:pPr>
        <w:shd w:val="clear" w:color="auto" w:fill="FFFFFF"/>
        <w:spacing w:before="101"/>
        <w:jc w:val="both"/>
        <w:rPr>
          <w:rFonts w:ascii="Times New Roman" w:hAnsi="Times New Roman" w:cs="Times New Roman"/>
          <w:sz w:val="10"/>
          <w:szCs w:val="22"/>
          <w:lang w:val="es-ES_tradnl" w:eastAsia="es-ES_tradnl"/>
        </w:rPr>
      </w:pPr>
    </w:p>
    <w:p w14:paraId="71481D93" w14:textId="77777777" w:rsidR="002062D4" w:rsidRPr="00C8275B" w:rsidRDefault="002062D4" w:rsidP="0068692D">
      <w:pPr>
        <w:shd w:val="clear" w:color="auto" w:fill="FFFFFF"/>
        <w:spacing w:before="101"/>
        <w:jc w:val="both"/>
        <w:rPr>
          <w:rFonts w:ascii="Times New Roman" w:hAnsi="Times New Roman" w:cs="Times New Roman"/>
          <w:color w:val="0000FF"/>
          <w:sz w:val="10"/>
          <w:szCs w:val="22"/>
          <w:lang w:val="es-ES_tradnl" w:eastAsia="es-ES_tradnl"/>
        </w:rPr>
      </w:pPr>
    </w:p>
    <w:p w14:paraId="76A38FA1" w14:textId="77777777" w:rsidR="000576A2" w:rsidRPr="00C8275B" w:rsidRDefault="001F6884"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5</w:t>
      </w:r>
      <w:r w:rsidR="006C0067"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u w:val="double"/>
          <w:lang w:val="es-ES_tradnl" w:eastAsia="es-ES_tradnl"/>
        </w:rPr>
        <w:t xml:space="preserve">INMOVILIZADO </w:t>
      </w:r>
      <w:r w:rsidR="000576A2" w:rsidRPr="00C8275B">
        <w:rPr>
          <w:rFonts w:ascii="Times New Roman" w:hAnsi="Times New Roman" w:cs="Times New Roman"/>
          <w:b/>
          <w:bCs/>
          <w:spacing w:val="-3"/>
          <w:sz w:val="22"/>
          <w:szCs w:val="22"/>
          <w:u w:val="double"/>
          <w:lang w:val="es-ES_tradnl" w:eastAsia="es-ES_tradnl"/>
        </w:rPr>
        <w:t>INTANGIBLE</w:t>
      </w:r>
    </w:p>
    <w:p w14:paraId="7BC9FDCF" w14:textId="77777777" w:rsidR="000576A2" w:rsidRPr="00C8275B" w:rsidRDefault="000576A2" w:rsidP="001F0496">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p>
    <w:p w14:paraId="0F1AE4D0" w14:textId="77777777" w:rsidR="00A132A5" w:rsidRPr="00C8275B"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r w:rsidRPr="00C8275B">
        <w:rPr>
          <w:rFonts w:ascii="Times New Roman" w:hAnsi="Times New Roman" w:cs="Times New Roman"/>
          <w:color w:val="auto"/>
          <w:spacing w:val="-1"/>
          <w:sz w:val="22"/>
          <w:szCs w:val="22"/>
          <w:lang w:val="es-ES_tradnl" w:eastAsia="es-ES_tradnl"/>
        </w:rPr>
        <w:t>Las partidas que componen el inmovilizado intangible de la Sociedad, así como el movimiento de cada una de estas partidas se puede observar en el cuadro siguiente:</w:t>
      </w:r>
    </w:p>
    <w:p w14:paraId="15C8C7B9" w14:textId="6C9DE935" w:rsidR="00A132A5"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p w14:paraId="52A2B49C" w14:textId="3E33BE46" w:rsidR="00A132A5"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893F5F" w:rsidRPr="00C8275B">
        <w:rPr>
          <w:rFonts w:ascii="Times New Roman" w:hAnsi="Times New Roman" w:cs="Times New Roman"/>
          <w:b/>
          <w:color w:val="auto"/>
          <w:spacing w:val="-1"/>
          <w:sz w:val="22"/>
          <w:szCs w:val="22"/>
          <w:u w:val="single"/>
          <w:lang w:val="es-ES_tradnl" w:eastAsia="es-ES_tradnl"/>
        </w:rPr>
        <w:t>2022</w:t>
      </w:r>
    </w:p>
    <w:p w14:paraId="621753C1" w14:textId="77777777" w:rsidR="000476D4" w:rsidRPr="00C8275B" w:rsidRDefault="000476D4"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46F7AB8C" w14:textId="3CEE5F1D" w:rsidR="00A132A5" w:rsidRPr="00C8275B" w:rsidRDefault="00A132A5" w:rsidP="00A132A5">
      <w:pPr>
        <w:pStyle w:val="Default"/>
        <w:spacing w:line="276" w:lineRule="auto"/>
        <w:ind w:left="709" w:right="-284"/>
        <w:rPr>
          <w:rFonts w:ascii="Times New Roman" w:hAnsi="Times New Roman" w:cs="Times New Roman"/>
          <w:color w:val="auto"/>
          <w:spacing w:val="-1"/>
          <w:sz w:val="22"/>
          <w:szCs w:val="22"/>
          <w:lang w:val="es-ES_tradnl" w:eastAsia="es-ES_tradnl"/>
        </w:rPr>
      </w:pPr>
    </w:p>
    <w:tbl>
      <w:tblPr>
        <w:tblW w:w="9363" w:type="dxa"/>
        <w:tblInd w:w="913" w:type="dxa"/>
        <w:tblCellMar>
          <w:left w:w="70" w:type="dxa"/>
          <w:right w:w="70" w:type="dxa"/>
        </w:tblCellMar>
        <w:tblLook w:val="04A0" w:firstRow="1" w:lastRow="0" w:firstColumn="1" w:lastColumn="0" w:noHBand="0" w:noVBand="1"/>
      </w:tblPr>
      <w:tblGrid>
        <w:gridCol w:w="5961"/>
        <w:gridCol w:w="1134"/>
        <w:gridCol w:w="1276"/>
        <w:gridCol w:w="992"/>
      </w:tblGrid>
      <w:tr w:rsidR="00520C31" w:rsidRPr="00C8275B" w14:paraId="4540A64B" w14:textId="77777777" w:rsidTr="00414010">
        <w:trPr>
          <w:trHeight w:val="480"/>
        </w:trPr>
        <w:tc>
          <w:tcPr>
            <w:tcW w:w="5961" w:type="dxa"/>
            <w:tcBorders>
              <w:top w:val="single" w:sz="4" w:space="0" w:color="auto"/>
              <w:left w:val="nil"/>
              <w:bottom w:val="single" w:sz="4" w:space="0" w:color="auto"/>
              <w:right w:val="nil"/>
            </w:tcBorders>
            <w:shd w:val="clear" w:color="auto" w:fill="FFFFFF" w:themeFill="background1"/>
            <w:vAlign w:val="center"/>
            <w:hideMark/>
          </w:tcPr>
          <w:p w14:paraId="1D128D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nil"/>
            </w:tcBorders>
            <w:shd w:val="clear" w:color="auto" w:fill="FFFFFF" w:themeFill="background1"/>
            <w:vAlign w:val="center"/>
            <w:hideMark/>
          </w:tcPr>
          <w:p w14:paraId="6BC62B2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Propiedad Industrial</w:t>
            </w:r>
          </w:p>
        </w:tc>
        <w:tc>
          <w:tcPr>
            <w:tcW w:w="1276" w:type="dxa"/>
            <w:tcBorders>
              <w:top w:val="single" w:sz="4" w:space="0" w:color="auto"/>
              <w:left w:val="nil"/>
              <w:bottom w:val="single" w:sz="4" w:space="0" w:color="auto"/>
              <w:right w:val="nil"/>
            </w:tcBorders>
            <w:shd w:val="clear" w:color="auto" w:fill="FFFFFF" w:themeFill="background1"/>
            <w:vAlign w:val="center"/>
            <w:hideMark/>
          </w:tcPr>
          <w:p w14:paraId="2C729FD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Aplicaciones informáticas</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446A836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520C31" w:rsidRPr="00C8275B" w14:paraId="08D2ABB4"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5C385FD7"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2021</w:t>
            </w:r>
          </w:p>
        </w:tc>
        <w:tc>
          <w:tcPr>
            <w:tcW w:w="1134" w:type="dxa"/>
            <w:tcBorders>
              <w:top w:val="nil"/>
              <w:left w:val="nil"/>
              <w:bottom w:val="single" w:sz="4" w:space="0" w:color="auto"/>
              <w:right w:val="nil"/>
            </w:tcBorders>
            <w:shd w:val="clear" w:color="auto" w:fill="auto"/>
            <w:noWrap/>
            <w:vAlign w:val="center"/>
            <w:hideMark/>
          </w:tcPr>
          <w:p w14:paraId="79C197B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12E634C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248476E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D19974B"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1511D0D1"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2021</w:t>
            </w:r>
          </w:p>
        </w:tc>
        <w:tc>
          <w:tcPr>
            <w:tcW w:w="1134" w:type="dxa"/>
            <w:tcBorders>
              <w:top w:val="nil"/>
              <w:left w:val="nil"/>
              <w:bottom w:val="single" w:sz="4" w:space="0" w:color="auto"/>
              <w:right w:val="nil"/>
            </w:tcBorders>
            <w:shd w:val="clear" w:color="auto" w:fill="auto"/>
            <w:noWrap/>
            <w:vAlign w:val="center"/>
            <w:hideMark/>
          </w:tcPr>
          <w:p w14:paraId="67848CC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6319D0F6"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7072545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87C8F05"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9CDF96F"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2022</w:t>
            </w:r>
          </w:p>
        </w:tc>
        <w:tc>
          <w:tcPr>
            <w:tcW w:w="1134" w:type="dxa"/>
            <w:tcBorders>
              <w:top w:val="nil"/>
              <w:left w:val="nil"/>
              <w:bottom w:val="single" w:sz="4" w:space="0" w:color="auto"/>
              <w:right w:val="nil"/>
            </w:tcBorders>
            <w:shd w:val="clear" w:color="auto" w:fill="auto"/>
            <w:noWrap/>
            <w:vAlign w:val="center"/>
            <w:hideMark/>
          </w:tcPr>
          <w:p w14:paraId="3DE6BB1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57A3474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2DF343C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F5DC5F4"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D87AF93"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2022</w:t>
            </w:r>
          </w:p>
        </w:tc>
        <w:tc>
          <w:tcPr>
            <w:tcW w:w="1134" w:type="dxa"/>
            <w:tcBorders>
              <w:top w:val="nil"/>
              <w:left w:val="nil"/>
              <w:bottom w:val="single" w:sz="4" w:space="0" w:color="auto"/>
              <w:right w:val="nil"/>
            </w:tcBorders>
            <w:shd w:val="clear" w:color="auto" w:fill="auto"/>
            <w:noWrap/>
            <w:vAlign w:val="center"/>
            <w:hideMark/>
          </w:tcPr>
          <w:p w14:paraId="29675E70"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7D9EC5D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4F1839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1D2683B"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B8016AD" w14:textId="0098CB4F"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E) AMORTIZACIÓN ACUMULADA, SALDO INICIAL EJERCICIO 2022</w:t>
            </w:r>
          </w:p>
        </w:tc>
        <w:tc>
          <w:tcPr>
            <w:tcW w:w="1134" w:type="dxa"/>
            <w:tcBorders>
              <w:top w:val="nil"/>
              <w:left w:val="nil"/>
              <w:bottom w:val="single" w:sz="4" w:space="0" w:color="auto"/>
              <w:right w:val="nil"/>
            </w:tcBorders>
            <w:shd w:val="clear" w:color="auto" w:fill="auto"/>
            <w:noWrap/>
            <w:vAlign w:val="center"/>
            <w:hideMark/>
          </w:tcPr>
          <w:p w14:paraId="7BF2E08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2F9DB594"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04BAA5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E3142F7" w14:textId="77777777" w:rsidTr="00520C31">
        <w:trPr>
          <w:trHeight w:val="300"/>
        </w:trPr>
        <w:tc>
          <w:tcPr>
            <w:tcW w:w="5961" w:type="dxa"/>
            <w:tcBorders>
              <w:top w:val="nil"/>
              <w:left w:val="nil"/>
              <w:bottom w:val="single" w:sz="4" w:space="0" w:color="auto"/>
              <w:right w:val="nil"/>
            </w:tcBorders>
            <w:shd w:val="clear" w:color="auto" w:fill="auto"/>
            <w:noWrap/>
            <w:vAlign w:val="center"/>
          </w:tcPr>
          <w:p w14:paraId="48AE935F" w14:textId="571EBB94"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sz w:val="18"/>
                <w:szCs w:val="18"/>
              </w:rPr>
              <w:t>(+) Dotación a la amortización del ejercicio 2022</w:t>
            </w:r>
          </w:p>
        </w:tc>
        <w:tc>
          <w:tcPr>
            <w:tcW w:w="1134" w:type="dxa"/>
            <w:tcBorders>
              <w:top w:val="nil"/>
              <w:left w:val="nil"/>
              <w:bottom w:val="single" w:sz="4" w:space="0" w:color="auto"/>
              <w:right w:val="nil"/>
            </w:tcBorders>
            <w:shd w:val="clear" w:color="auto" w:fill="auto"/>
            <w:noWrap/>
            <w:vAlign w:val="center"/>
          </w:tcPr>
          <w:p w14:paraId="6C587F26" w14:textId="72DB9198"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c>
          <w:tcPr>
            <w:tcW w:w="1276" w:type="dxa"/>
            <w:tcBorders>
              <w:top w:val="nil"/>
              <w:left w:val="nil"/>
              <w:bottom w:val="single" w:sz="4" w:space="0" w:color="auto"/>
              <w:right w:val="nil"/>
            </w:tcBorders>
            <w:shd w:val="clear" w:color="auto" w:fill="auto"/>
            <w:noWrap/>
            <w:vAlign w:val="center"/>
          </w:tcPr>
          <w:p w14:paraId="1A12B444" w14:textId="6C6D56E6"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c>
          <w:tcPr>
            <w:tcW w:w="992" w:type="dxa"/>
            <w:tcBorders>
              <w:top w:val="nil"/>
              <w:left w:val="nil"/>
              <w:bottom w:val="single" w:sz="4" w:space="0" w:color="auto"/>
              <w:right w:val="nil"/>
            </w:tcBorders>
            <w:shd w:val="clear" w:color="auto" w:fill="auto"/>
            <w:noWrap/>
            <w:vAlign w:val="center"/>
          </w:tcPr>
          <w:p w14:paraId="5A9A5810" w14:textId="39AB97F0"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sz w:val="18"/>
                <w:szCs w:val="18"/>
              </w:rPr>
              <w:t>0,00</w:t>
            </w:r>
          </w:p>
        </w:tc>
      </w:tr>
      <w:tr w:rsidR="00520C31" w:rsidRPr="00C8275B" w14:paraId="42B6B74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FF561BE" w14:textId="541EE033"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2022</w:t>
            </w:r>
          </w:p>
        </w:tc>
        <w:tc>
          <w:tcPr>
            <w:tcW w:w="1134" w:type="dxa"/>
            <w:tcBorders>
              <w:top w:val="nil"/>
              <w:left w:val="nil"/>
              <w:bottom w:val="single" w:sz="4" w:space="0" w:color="auto"/>
              <w:right w:val="nil"/>
            </w:tcBorders>
            <w:shd w:val="clear" w:color="auto" w:fill="auto"/>
            <w:noWrap/>
            <w:vAlign w:val="center"/>
            <w:hideMark/>
          </w:tcPr>
          <w:p w14:paraId="03B3ACB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1EF5A83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144427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B07C4E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76A310A3" w14:textId="77777777"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G) AMORTIZACIÓN ACUMULADA, SALDO INICIAL EJERCICIO 2022</w:t>
            </w:r>
          </w:p>
        </w:tc>
        <w:tc>
          <w:tcPr>
            <w:tcW w:w="1134" w:type="dxa"/>
            <w:tcBorders>
              <w:top w:val="nil"/>
              <w:left w:val="nil"/>
              <w:bottom w:val="single" w:sz="4" w:space="0" w:color="auto"/>
              <w:right w:val="nil"/>
            </w:tcBorders>
            <w:shd w:val="clear" w:color="auto" w:fill="auto"/>
            <w:noWrap/>
            <w:vAlign w:val="center"/>
            <w:hideMark/>
          </w:tcPr>
          <w:p w14:paraId="68C22D3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7C4E1F8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5C1D4C5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574B9B87"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241AD84C"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2022</w:t>
            </w:r>
          </w:p>
        </w:tc>
        <w:tc>
          <w:tcPr>
            <w:tcW w:w="1134" w:type="dxa"/>
            <w:tcBorders>
              <w:top w:val="nil"/>
              <w:left w:val="nil"/>
              <w:bottom w:val="single" w:sz="4" w:space="0" w:color="auto"/>
              <w:right w:val="nil"/>
            </w:tcBorders>
            <w:shd w:val="clear" w:color="auto" w:fill="auto"/>
            <w:noWrap/>
            <w:vAlign w:val="center"/>
            <w:hideMark/>
          </w:tcPr>
          <w:p w14:paraId="34E89C9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276" w:type="dxa"/>
            <w:tcBorders>
              <w:top w:val="nil"/>
              <w:left w:val="nil"/>
              <w:bottom w:val="single" w:sz="4" w:space="0" w:color="auto"/>
              <w:right w:val="nil"/>
            </w:tcBorders>
            <w:shd w:val="clear" w:color="auto" w:fill="auto"/>
            <w:noWrap/>
            <w:vAlign w:val="center"/>
            <w:hideMark/>
          </w:tcPr>
          <w:p w14:paraId="5ACB7962"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992" w:type="dxa"/>
            <w:tcBorders>
              <w:top w:val="nil"/>
              <w:left w:val="nil"/>
              <w:bottom w:val="single" w:sz="4" w:space="0" w:color="auto"/>
              <w:right w:val="nil"/>
            </w:tcBorders>
            <w:shd w:val="clear" w:color="auto" w:fill="auto"/>
            <w:noWrap/>
            <w:vAlign w:val="center"/>
            <w:hideMark/>
          </w:tcPr>
          <w:p w14:paraId="4AFC977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76FEE4DE" w14:textId="77777777" w:rsidTr="00520C31">
        <w:trPr>
          <w:trHeight w:val="300"/>
        </w:trPr>
        <w:tc>
          <w:tcPr>
            <w:tcW w:w="5961" w:type="dxa"/>
            <w:tcBorders>
              <w:top w:val="nil"/>
              <w:left w:val="nil"/>
              <w:bottom w:val="single" w:sz="4" w:space="0" w:color="auto"/>
              <w:right w:val="nil"/>
            </w:tcBorders>
            <w:shd w:val="clear" w:color="auto" w:fill="auto"/>
            <w:noWrap/>
            <w:vAlign w:val="center"/>
            <w:hideMark/>
          </w:tcPr>
          <w:p w14:paraId="0A9A6815"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2022</w:t>
            </w:r>
          </w:p>
        </w:tc>
        <w:tc>
          <w:tcPr>
            <w:tcW w:w="1134" w:type="dxa"/>
            <w:tcBorders>
              <w:top w:val="nil"/>
              <w:left w:val="nil"/>
              <w:bottom w:val="single" w:sz="4" w:space="0" w:color="auto"/>
              <w:right w:val="nil"/>
            </w:tcBorders>
            <w:shd w:val="clear" w:color="auto" w:fill="auto"/>
            <w:noWrap/>
            <w:vAlign w:val="center"/>
            <w:hideMark/>
          </w:tcPr>
          <w:p w14:paraId="60979F8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276" w:type="dxa"/>
            <w:tcBorders>
              <w:top w:val="nil"/>
              <w:left w:val="nil"/>
              <w:bottom w:val="single" w:sz="4" w:space="0" w:color="auto"/>
              <w:right w:val="nil"/>
            </w:tcBorders>
            <w:shd w:val="clear" w:color="auto" w:fill="auto"/>
            <w:noWrap/>
            <w:vAlign w:val="center"/>
            <w:hideMark/>
          </w:tcPr>
          <w:p w14:paraId="33CFFD3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992" w:type="dxa"/>
            <w:tcBorders>
              <w:top w:val="nil"/>
              <w:left w:val="nil"/>
              <w:bottom w:val="single" w:sz="4" w:space="0" w:color="auto"/>
              <w:right w:val="nil"/>
            </w:tcBorders>
            <w:shd w:val="clear" w:color="auto" w:fill="auto"/>
            <w:noWrap/>
            <w:vAlign w:val="center"/>
            <w:hideMark/>
          </w:tcPr>
          <w:p w14:paraId="4D314A5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r>
    </w:tbl>
    <w:p w14:paraId="2FBB0E59" w14:textId="3D35ABB6" w:rsidR="00520C31" w:rsidRDefault="00520C31"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4F093CA2" w14:textId="33F4EDA1" w:rsidR="00486703" w:rsidRDefault="00486703"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564CFD26" w14:textId="62987577" w:rsidR="000476D4" w:rsidRDefault="000476D4" w:rsidP="00A132A5">
      <w:pPr>
        <w:pStyle w:val="Default"/>
        <w:spacing w:line="276" w:lineRule="auto"/>
        <w:ind w:left="709" w:right="-284"/>
        <w:rPr>
          <w:rFonts w:ascii="Times New Roman" w:hAnsi="Times New Roman" w:cs="Times New Roman"/>
          <w:color w:val="0000FF"/>
          <w:spacing w:val="-1"/>
          <w:sz w:val="22"/>
          <w:szCs w:val="22"/>
          <w:lang w:val="es-ES_tradnl" w:eastAsia="es-ES_tradnl"/>
        </w:rPr>
      </w:pPr>
    </w:p>
    <w:p w14:paraId="0E761264" w14:textId="77777777"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893F5F" w:rsidRPr="00C8275B">
        <w:rPr>
          <w:rFonts w:ascii="Times New Roman" w:hAnsi="Times New Roman" w:cs="Times New Roman"/>
          <w:b/>
          <w:color w:val="auto"/>
          <w:spacing w:val="-1"/>
          <w:sz w:val="22"/>
          <w:szCs w:val="22"/>
          <w:u w:val="single"/>
          <w:lang w:val="es-ES_tradnl" w:eastAsia="es-ES_tradnl"/>
        </w:rPr>
        <w:t>2021</w:t>
      </w:r>
    </w:p>
    <w:p w14:paraId="62AC3D53" w14:textId="77777777" w:rsidR="003F3BCE" w:rsidRPr="00C8275B" w:rsidRDefault="003F3BCE" w:rsidP="003F3BCE">
      <w:pPr>
        <w:pStyle w:val="Default"/>
        <w:spacing w:line="276" w:lineRule="auto"/>
        <w:ind w:left="709" w:right="-284"/>
        <w:rPr>
          <w:rFonts w:ascii="Times New Roman" w:hAnsi="Times New Roman" w:cs="Times New Roman"/>
          <w:color w:val="auto"/>
          <w:spacing w:val="-1"/>
          <w:sz w:val="22"/>
          <w:szCs w:val="22"/>
          <w:lang w:val="es-ES_tradnl" w:eastAsia="es-ES_tradnl"/>
        </w:rPr>
      </w:pPr>
    </w:p>
    <w:tbl>
      <w:tblPr>
        <w:tblW w:w="9484" w:type="dxa"/>
        <w:tblInd w:w="921" w:type="dxa"/>
        <w:tblCellMar>
          <w:left w:w="70" w:type="dxa"/>
          <w:right w:w="70" w:type="dxa"/>
        </w:tblCellMar>
        <w:tblLook w:val="04A0" w:firstRow="1" w:lastRow="0" w:firstColumn="1" w:lastColumn="0" w:noHBand="0" w:noVBand="1"/>
      </w:tblPr>
      <w:tblGrid>
        <w:gridCol w:w="5953"/>
        <w:gridCol w:w="1276"/>
        <w:gridCol w:w="1114"/>
        <w:gridCol w:w="1141"/>
      </w:tblGrid>
      <w:tr w:rsidR="00520C31" w:rsidRPr="00C8275B" w14:paraId="6382BE4D" w14:textId="77777777" w:rsidTr="00414010">
        <w:trPr>
          <w:trHeight w:val="480"/>
        </w:trPr>
        <w:tc>
          <w:tcPr>
            <w:tcW w:w="5953" w:type="dxa"/>
            <w:tcBorders>
              <w:top w:val="single" w:sz="4" w:space="0" w:color="auto"/>
              <w:left w:val="nil"/>
              <w:bottom w:val="single" w:sz="4" w:space="0" w:color="auto"/>
              <w:right w:val="nil"/>
            </w:tcBorders>
            <w:shd w:val="clear" w:color="auto" w:fill="FFFFFF" w:themeFill="background1"/>
            <w:vAlign w:val="center"/>
            <w:hideMark/>
          </w:tcPr>
          <w:p w14:paraId="07149CB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nil"/>
            </w:tcBorders>
            <w:shd w:val="clear" w:color="auto" w:fill="FFFFFF" w:themeFill="background1"/>
            <w:vAlign w:val="center"/>
            <w:hideMark/>
          </w:tcPr>
          <w:p w14:paraId="3CCDF91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Propiedad Industrial</w:t>
            </w:r>
          </w:p>
        </w:tc>
        <w:tc>
          <w:tcPr>
            <w:tcW w:w="1114" w:type="dxa"/>
            <w:tcBorders>
              <w:top w:val="single" w:sz="4" w:space="0" w:color="auto"/>
              <w:left w:val="nil"/>
              <w:bottom w:val="single" w:sz="4" w:space="0" w:color="auto"/>
              <w:right w:val="nil"/>
            </w:tcBorders>
            <w:shd w:val="clear" w:color="auto" w:fill="FFFFFF" w:themeFill="background1"/>
            <w:vAlign w:val="center"/>
            <w:hideMark/>
          </w:tcPr>
          <w:p w14:paraId="44D9DFE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Aplicaciones informáticas</w:t>
            </w:r>
          </w:p>
        </w:tc>
        <w:tc>
          <w:tcPr>
            <w:tcW w:w="1141" w:type="dxa"/>
            <w:tcBorders>
              <w:top w:val="single" w:sz="4" w:space="0" w:color="auto"/>
              <w:left w:val="nil"/>
              <w:bottom w:val="single" w:sz="4" w:space="0" w:color="auto"/>
              <w:right w:val="nil"/>
            </w:tcBorders>
            <w:shd w:val="clear" w:color="auto" w:fill="FFFFFF" w:themeFill="background1"/>
            <w:vAlign w:val="center"/>
            <w:hideMark/>
          </w:tcPr>
          <w:p w14:paraId="756FF7CF"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520C31" w:rsidRPr="00C8275B" w14:paraId="0B2A1E39"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9CB84CA"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2020</w:t>
            </w:r>
          </w:p>
        </w:tc>
        <w:tc>
          <w:tcPr>
            <w:tcW w:w="1276" w:type="dxa"/>
            <w:tcBorders>
              <w:top w:val="nil"/>
              <w:left w:val="nil"/>
              <w:bottom w:val="single" w:sz="4" w:space="0" w:color="auto"/>
              <w:right w:val="nil"/>
            </w:tcBorders>
            <w:shd w:val="clear" w:color="auto" w:fill="auto"/>
            <w:noWrap/>
            <w:vAlign w:val="center"/>
            <w:hideMark/>
          </w:tcPr>
          <w:p w14:paraId="7FB1F3A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68DE19D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B9195B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7D60CA89"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9D62AC6"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2020</w:t>
            </w:r>
          </w:p>
        </w:tc>
        <w:tc>
          <w:tcPr>
            <w:tcW w:w="1276" w:type="dxa"/>
            <w:tcBorders>
              <w:top w:val="nil"/>
              <w:left w:val="nil"/>
              <w:bottom w:val="single" w:sz="4" w:space="0" w:color="auto"/>
              <w:right w:val="nil"/>
            </w:tcBorders>
            <w:shd w:val="clear" w:color="auto" w:fill="auto"/>
            <w:noWrap/>
            <w:vAlign w:val="center"/>
            <w:hideMark/>
          </w:tcPr>
          <w:p w14:paraId="5833E55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59F30F2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5C993A5C"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395D1DF"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0546F849"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2021</w:t>
            </w:r>
          </w:p>
        </w:tc>
        <w:tc>
          <w:tcPr>
            <w:tcW w:w="1276" w:type="dxa"/>
            <w:tcBorders>
              <w:top w:val="nil"/>
              <w:left w:val="nil"/>
              <w:bottom w:val="single" w:sz="4" w:space="0" w:color="auto"/>
              <w:right w:val="nil"/>
            </w:tcBorders>
            <w:shd w:val="clear" w:color="auto" w:fill="auto"/>
            <w:noWrap/>
            <w:vAlign w:val="center"/>
            <w:hideMark/>
          </w:tcPr>
          <w:p w14:paraId="0EAFCE95"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994D73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E11FFF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47D4C5A8"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5A10665"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2021</w:t>
            </w:r>
          </w:p>
        </w:tc>
        <w:tc>
          <w:tcPr>
            <w:tcW w:w="1276" w:type="dxa"/>
            <w:tcBorders>
              <w:top w:val="nil"/>
              <w:left w:val="nil"/>
              <w:bottom w:val="single" w:sz="4" w:space="0" w:color="auto"/>
              <w:right w:val="nil"/>
            </w:tcBorders>
            <w:shd w:val="clear" w:color="auto" w:fill="auto"/>
            <w:noWrap/>
            <w:vAlign w:val="center"/>
            <w:hideMark/>
          </w:tcPr>
          <w:p w14:paraId="2D7F14E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7F50BA7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570DCF41"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174FD876"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48AF9E17" w14:textId="4A471E1A"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E) AMORTIZACIÓN ACUMULADA, SALDO INICIAL EJERCICIO 202</w:t>
            </w:r>
            <w:r w:rsidR="004E4532" w:rsidRPr="00FD2362">
              <w:rPr>
                <w:rFonts w:ascii="Times New Roman" w:hAnsi="Times New Roman" w:cs="Times New Roman"/>
                <w:b/>
                <w:bCs/>
                <w:sz w:val="17"/>
                <w:szCs w:val="17"/>
              </w:rPr>
              <w:t>1</w:t>
            </w:r>
          </w:p>
        </w:tc>
        <w:tc>
          <w:tcPr>
            <w:tcW w:w="1276" w:type="dxa"/>
            <w:tcBorders>
              <w:top w:val="nil"/>
              <w:left w:val="nil"/>
              <w:bottom w:val="single" w:sz="4" w:space="0" w:color="auto"/>
              <w:right w:val="nil"/>
            </w:tcBorders>
            <w:shd w:val="clear" w:color="auto" w:fill="auto"/>
            <w:noWrap/>
            <w:vAlign w:val="center"/>
            <w:hideMark/>
          </w:tcPr>
          <w:p w14:paraId="1450ACF4"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7607C2E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22CC6BCA"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59CCDCD2"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D2FE38F" w14:textId="20F9B96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w:t>
            </w:r>
            <w:r w:rsidR="004E4532" w:rsidRPr="00C8275B">
              <w:rPr>
                <w:rFonts w:ascii="Times New Roman" w:hAnsi="Times New Roman" w:cs="Times New Roman"/>
                <w:b/>
                <w:bCs/>
                <w:sz w:val="18"/>
                <w:szCs w:val="18"/>
              </w:rPr>
              <w:t>1</w:t>
            </w:r>
          </w:p>
        </w:tc>
        <w:tc>
          <w:tcPr>
            <w:tcW w:w="1276" w:type="dxa"/>
            <w:tcBorders>
              <w:top w:val="nil"/>
              <w:left w:val="nil"/>
              <w:bottom w:val="single" w:sz="4" w:space="0" w:color="auto"/>
              <w:right w:val="nil"/>
            </w:tcBorders>
            <w:shd w:val="clear" w:color="auto" w:fill="auto"/>
            <w:noWrap/>
            <w:vAlign w:val="center"/>
            <w:hideMark/>
          </w:tcPr>
          <w:p w14:paraId="6139C3BB"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016D49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06E6A822"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0C43BDE"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3403BD3" w14:textId="77777777" w:rsidR="00520C31" w:rsidRPr="00FD2362" w:rsidRDefault="00520C31" w:rsidP="00520C31">
            <w:pPr>
              <w:widowControl/>
              <w:autoSpaceDE/>
              <w:autoSpaceDN/>
              <w:adjustRightInd/>
              <w:rPr>
                <w:rFonts w:ascii="Times New Roman" w:hAnsi="Times New Roman" w:cs="Times New Roman"/>
                <w:b/>
                <w:bCs/>
                <w:sz w:val="17"/>
                <w:szCs w:val="17"/>
              </w:rPr>
            </w:pPr>
            <w:r w:rsidRPr="00FD2362">
              <w:rPr>
                <w:rFonts w:ascii="Times New Roman" w:hAnsi="Times New Roman" w:cs="Times New Roman"/>
                <w:b/>
                <w:bCs/>
                <w:sz w:val="17"/>
                <w:szCs w:val="17"/>
              </w:rPr>
              <w:t>G) AMORTIZACIÓN ACUMULADA, SALDO INICIAL EJERCICIO 2021</w:t>
            </w:r>
          </w:p>
        </w:tc>
        <w:tc>
          <w:tcPr>
            <w:tcW w:w="1276" w:type="dxa"/>
            <w:tcBorders>
              <w:top w:val="nil"/>
              <w:left w:val="nil"/>
              <w:bottom w:val="single" w:sz="4" w:space="0" w:color="auto"/>
              <w:right w:val="nil"/>
            </w:tcBorders>
            <w:shd w:val="clear" w:color="auto" w:fill="auto"/>
            <w:noWrap/>
            <w:vAlign w:val="center"/>
            <w:hideMark/>
          </w:tcPr>
          <w:p w14:paraId="7243E59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31CCC1AE"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172EFD9D"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08A96FBC"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0339603C" w14:textId="77777777" w:rsidR="00520C31" w:rsidRPr="00C8275B" w:rsidRDefault="00520C31" w:rsidP="00520C31">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2021</w:t>
            </w:r>
          </w:p>
        </w:tc>
        <w:tc>
          <w:tcPr>
            <w:tcW w:w="1276" w:type="dxa"/>
            <w:tcBorders>
              <w:top w:val="nil"/>
              <w:left w:val="nil"/>
              <w:bottom w:val="single" w:sz="4" w:space="0" w:color="auto"/>
              <w:right w:val="nil"/>
            </w:tcBorders>
            <w:shd w:val="clear" w:color="auto" w:fill="auto"/>
            <w:noWrap/>
            <w:vAlign w:val="center"/>
            <w:hideMark/>
          </w:tcPr>
          <w:p w14:paraId="4B2D9432"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14" w:type="dxa"/>
            <w:tcBorders>
              <w:top w:val="nil"/>
              <w:left w:val="nil"/>
              <w:bottom w:val="single" w:sz="4" w:space="0" w:color="auto"/>
              <w:right w:val="nil"/>
            </w:tcBorders>
            <w:shd w:val="clear" w:color="auto" w:fill="auto"/>
            <w:noWrap/>
            <w:vAlign w:val="center"/>
            <w:hideMark/>
          </w:tcPr>
          <w:p w14:paraId="2E9B228F"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41" w:type="dxa"/>
            <w:tcBorders>
              <w:top w:val="nil"/>
              <w:left w:val="nil"/>
              <w:bottom w:val="single" w:sz="4" w:space="0" w:color="auto"/>
              <w:right w:val="nil"/>
            </w:tcBorders>
            <w:shd w:val="clear" w:color="auto" w:fill="auto"/>
            <w:noWrap/>
            <w:vAlign w:val="center"/>
            <w:hideMark/>
          </w:tcPr>
          <w:p w14:paraId="108991C2" w14:textId="77777777" w:rsidR="00520C31" w:rsidRPr="00C8275B" w:rsidRDefault="00520C31" w:rsidP="00520C31">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r>
      <w:tr w:rsidR="00520C31" w:rsidRPr="00C8275B" w14:paraId="3F5153EB"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673031DF"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2021</w:t>
            </w:r>
          </w:p>
        </w:tc>
        <w:tc>
          <w:tcPr>
            <w:tcW w:w="1276" w:type="dxa"/>
            <w:tcBorders>
              <w:top w:val="nil"/>
              <w:left w:val="nil"/>
              <w:bottom w:val="single" w:sz="4" w:space="0" w:color="auto"/>
              <w:right w:val="nil"/>
            </w:tcBorders>
            <w:shd w:val="clear" w:color="auto" w:fill="auto"/>
            <w:noWrap/>
            <w:vAlign w:val="center"/>
            <w:hideMark/>
          </w:tcPr>
          <w:p w14:paraId="3EF6292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2.323,41</w:t>
            </w:r>
          </w:p>
        </w:tc>
        <w:tc>
          <w:tcPr>
            <w:tcW w:w="1114" w:type="dxa"/>
            <w:tcBorders>
              <w:top w:val="nil"/>
              <w:left w:val="nil"/>
              <w:bottom w:val="single" w:sz="4" w:space="0" w:color="auto"/>
              <w:right w:val="nil"/>
            </w:tcBorders>
            <w:shd w:val="clear" w:color="auto" w:fill="auto"/>
            <w:noWrap/>
            <w:vAlign w:val="center"/>
            <w:hideMark/>
          </w:tcPr>
          <w:p w14:paraId="0495A1A7"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946,35</w:t>
            </w:r>
          </w:p>
        </w:tc>
        <w:tc>
          <w:tcPr>
            <w:tcW w:w="1141" w:type="dxa"/>
            <w:tcBorders>
              <w:top w:val="nil"/>
              <w:left w:val="nil"/>
              <w:bottom w:val="single" w:sz="4" w:space="0" w:color="auto"/>
              <w:right w:val="nil"/>
            </w:tcBorders>
            <w:shd w:val="clear" w:color="auto" w:fill="auto"/>
            <w:noWrap/>
            <w:vAlign w:val="center"/>
            <w:hideMark/>
          </w:tcPr>
          <w:p w14:paraId="7B672708"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r w:rsidR="00520C31" w:rsidRPr="00C8275B" w14:paraId="6021F105" w14:textId="77777777" w:rsidTr="00520C31">
        <w:trPr>
          <w:trHeight w:val="300"/>
        </w:trPr>
        <w:tc>
          <w:tcPr>
            <w:tcW w:w="5953" w:type="dxa"/>
            <w:tcBorders>
              <w:top w:val="nil"/>
              <w:left w:val="nil"/>
              <w:bottom w:val="single" w:sz="4" w:space="0" w:color="auto"/>
              <w:right w:val="nil"/>
            </w:tcBorders>
            <w:shd w:val="clear" w:color="auto" w:fill="auto"/>
            <w:noWrap/>
            <w:vAlign w:val="center"/>
            <w:hideMark/>
          </w:tcPr>
          <w:p w14:paraId="2E0D3B82" w14:textId="77777777" w:rsidR="00520C31" w:rsidRPr="00C8275B" w:rsidRDefault="00520C31" w:rsidP="00520C31">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2021</w:t>
            </w:r>
          </w:p>
        </w:tc>
        <w:tc>
          <w:tcPr>
            <w:tcW w:w="1276" w:type="dxa"/>
            <w:tcBorders>
              <w:top w:val="nil"/>
              <w:left w:val="nil"/>
              <w:bottom w:val="single" w:sz="4" w:space="0" w:color="auto"/>
              <w:right w:val="nil"/>
            </w:tcBorders>
            <w:shd w:val="clear" w:color="auto" w:fill="auto"/>
            <w:noWrap/>
            <w:vAlign w:val="center"/>
            <w:hideMark/>
          </w:tcPr>
          <w:p w14:paraId="4CB0BB99"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14" w:type="dxa"/>
            <w:tcBorders>
              <w:top w:val="nil"/>
              <w:left w:val="nil"/>
              <w:bottom w:val="single" w:sz="4" w:space="0" w:color="auto"/>
              <w:right w:val="nil"/>
            </w:tcBorders>
            <w:shd w:val="clear" w:color="auto" w:fill="auto"/>
            <w:noWrap/>
            <w:vAlign w:val="center"/>
            <w:hideMark/>
          </w:tcPr>
          <w:p w14:paraId="3319C076"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41" w:type="dxa"/>
            <w:tcBorders>
              <w:top w:val="nil"/>
              <w:left w:val="nil"/>
              <w:bottom w:val="single" w:sz="4" w:space="0" w:color="auto"/>
              <w:right w:val="nil"/>
            </w:tcBorders>
            <w:shd w:val="clear" w:color="auto" w:fill="auto"/>
            <w:noWrap/>
            <w:vAlign w:val="center"/>
            <w:hideMark/>
          </w:tcPr>
          <w:p w14:paraId="7DF94D93" w14:textId="77777777" w:rsidR="00520C31" w:rsidRPr="00C8275B" w:rsidRDefault="00520C31" w:rsidP="00520C31">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r>
    </w:tbl>
    <w:p w14:paraId="7DB71B08" w14:textId="77777777" w:rsidR="004A0638" w:rsidRDefault="004A0638"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1498713F" w14:textId="77777777" w:rsidR="004A0638" w:rsidRDefault="004A0638"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455023C8" w14:textId="77777777" w:rsidR="004A0638" w:rsidRDefault="004A0638" w:rsidP="00A132A5">
      <w:pPr>
        <w:pStyle w:val="Default"/>
        <w:ind w:right="-284" w:firstLine="709"/>
        <w:rPr>
          <w:rFonts w:ascii="Times New Roman" w:hAnsi="Times New Roman" w:cs="Times New Roman"/>
          <w:b/>
          <w:color w:val="auto"/>
          <w:spacing w:val="-1"/>
          <w:sz w:val="22"/>
          <w:szCs w:val="22"/>
          <w:u w:val="single"/>
          <w:lang w:val="es-ES_tradnl" w:eastAsia="es-ES_tradnl"/>
        </w:rPr>
      </w:pPr>
    </w:p>
    <w:p w14:paraId="253331EC" w14:textId="373D4A17" w:rsidR="00E44FAC" w:rsidRPr="00C8275B" w:rsidRDefault="00E44FAC"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lastRenderedPageBreak/>
        <w:t>Bienes totalmente amortizados</w:t>
      </w:r>
    </w:p>
    <w:p w14:paraId="380EF66A" w14:textId="77777777" w:rsidR="00E44FAC" w:rsidRPr="00C8275B" w:rsidRDefault="00E44FAC" w:rsidP="00E44FAC">
      <w:pPr>
        <w:pStyle w:val="Textoindependiente"/>
        <w:spacing w:before="166" w:line="276" w:lineRule="auto"/>
        <w:ind w:right="108" w:firstLine="709"/>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 xml:space="preserve">El inmovilizado intangible totalmente amortizado, al cierre del ejercicio, presenta el siguiente desglose: </w:t>
      </w:r>
    </w:p>
    <w:tbl>
      <w:tblPr>
        <w:tblW w:w="5160" w:type="dxa"/>
        <w:jc w:val="center"/>
        <w:tblCellMar>
          <w:left w:w="70" w:type="dxa"/>
          <w:right w:w="70" w:type="dxa"/>
        </w:tblCellMar>
        <w:tblLook w:val="04A0" w:firstRow="1" w:lastRow="0" w:firstColumn="1" w:lastColumn="0" w:noHBand="0" w:noVBand="1"/>
      </w:tblPr>
      <w:tblGrid>
        <w:gridCol w:w="2200"/>
        <w:gridCol w:w="1600"/>
        <w:gridCol w:w="1360"/>
      </w:tblGrid>
      <w:tr w:rsidR="00405CC3" w:rsidRPr="00C8275B" w14:paraId="4609BFC7" w14:textId="77777777" w:rsidTr="00414010">
        <w:trPr>
          <w:trHeight w:val="300"/>
          <w:jc w:val="center"/>
        </w:trPr>
        <w:tc>
          <w:tcPr>
            <w:tcW w:w="2200" w:type="dxa"/>
            <w:tcBorders>
              <w:top w:val="single" w:sz="4" w:space="0" w:color="auto"/>
              <w:left w:val="nil"/>
              <w:bottom w:val="single" w:sz="4" w:space="0" w:color="auto"/>
              <w:right w:val="nil"/>
            </w:tcBorders>
            <w:shd w:val="clear" w:color="auto" w:fill="FFFFFF" w:themeFill="background1"/>
            <w:vAlign w:val="center"/>
            <w:hideMark/>
          </w:tcPr>
          <w:p w14:paraId="4EB07DF5" w14:textId="77777777" w:rsidR="0069692D" w:rsidRPr="00C8275B" w:rsidRDefault="0069692D"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600" w:type="dxa"/>
            <w:tcBorders>
              <w:top w:val="single" w:sz="4" w:space="0" w:color="auto"/>
              <w:left w:val="nil"/>
              <w:bottom w:val="single" w:sz="4" w:space="0" w:color="auto"/>
              <w:right w:val="nil"/>
            </w:tcBorders>
            <w:shd w:val="clear" w:color="auto" w:fill="FFFFFF" w:themeFill="background1"/>
            <w:vAlign w:val="center"/>
            <w:hideMark/>
          </w:tcPr>
          <w:p w14:paraId="63DCF426" w14:textId="77777777" w:rsidR="0069692D" w:rsidRPr="00C8275B" w:rsidRDefault="001F1175"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2022</w:t>
            </w:r>
          </w:p>
        </w:tc>
        <w:tc>
          <w:tcPr>
            <w:tcW w:w="1360" w:type="dxa"/>
            <w:tcBorders>
              <w:top w:val="single" w:sz="4" w:space="0" w:color="auto"/>
              <w:left w:val="nil"/>
              <w:bottom w:val="single" w:sz="4" w:space="0" w:color="auto"/>
              <w:right w:val="nil"/>
            </w:tcBorders>
            <w:shd w:val="clear" w:color="auto" w:fill="FFFFFF" w:themeFill="background1"/>
            <w:vAlign w:val="center"/>
            <w:hideMark/>
          </w:tcPr>
          <w:p w14:paraId="2E8F2EF9" w14:textId="77777777" w:rsidR="0069692D" w:rsidRPr="00C8275B" w:rsidRDefault="001F1175" w:rsidP="0069692D">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405CC3" w:rsidRPr="00C8275B" w14:paraId="5A78C28B" w14:textId="77777777" w:rsidTr="00414010">
        <w:trPr>
          <w:trHeight w:val="300"/>
          <w:jc w:val="center"/>
        </w:trPr>
        <w:tc>
          <w:tcPr>
            <w:tcW w:w="2200" w:type="dxa"/>
            <w:tcBorders>
              <w:top w:val="nil"/>
              <w:left w:val="nil"/>
              <w:bottom w:val="nil"/>
              <w:right w:val="nil"/>
            </w:tcBorders>
            <w:shd w:val="clear" w:color="auto" w:fill="FFFFFF" w:themeFill="background1"/>
            <w:noWrap/>
            <w:vAlign w:val="center"/>
            <w:hideMark/>
          </w:tcPr>
          <w:p w14:paraId="7F0F0D68" w14:textId="77777777" w:rsidR="001F1175" w:rsidRPr="00C8275B" w:rsidRDefault="001F1175" w:rsidP="0069692D">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Propiedad Industrial</w:t>
            </w:r>
          </w:p>
        </w:tc>
        <w:tc>
          <w:tcPr>
            <w:tcW w:w="1600" w:type="dxa"/>
            <w:tcBorders>
              <w:top w:val="nil"/>
              <w:left w:val="nil"/>
              <w:bottom w:val="nil"/>
              <w:right w:val="nil"/>
            </w:tcBorders>
            <w:shd w:val="clear" w:color="auto" w:fill="FFFFFF" w:themeFill="background1"/>
            <w:vAlign w:val="center"/>
            <w:hideMark/>
          </w:tcPr>
          <w:p w14:paraId="7F823FFF"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2.323,41</w:t>
            </w:r>
          </w:p>
        </w:tc>
        <w:tc>
          <w:tcPr>
            <w:tcW w:w="1360" w:type="dxa"/>
            <w:tcBorders>
              <w:top w:val="nil"/>
              <w:left w:val="nil"/>
              <w:bottom w:val="nil"/>
              <w:right w:val="nil"/>
            </w:tcBorders>
            <w:shd w:val="clear" w:color="auto" w:fill="FFFFFF" w:themeFill="background1"/>
            <w:vAlign w:val="center"/>
            <w:hideMark/>
          </w:tcPr>
          <w:p w14:paraId="42DE0529"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2.323,41</w:t>
            </w:r>
          </w:p>
        </w:tc>
      </w:tr>
      <w:tr w:rsidR="00405CC3" w:rsidRPr="00C8275B" w14:paraId="7F767A3C" w14:textId="77777777" w:rsidTr="00414010">
        <w:trPr>
          <w:trHeight w:val="300"/>
          <w:jc w:val="center"/>
        </w:trPr>
        <w:tc>
          <w:tcPr>
            <w:tcW w:w="2200" w:type="dxa"/>
            <w:tcBorders>
              <w:top w:val="nil"/>
              <w:left w:val="nil"/>
              <w:bottom w:val="nil"/>
              <w:right w:val="nil"/>
            </w:tcBorders>
            <w:shd w:val="clear" w:color="auto" w:fill="FFFFFF" w:themeFill="background1"/>
            <w:noWrap/>
            <w:vAlign w:val="center"/>
            <w:hideMark/>
          </w:tcPr>
          <w:p w14:paraId="65CC47BA" w14:textId="77777777" w:rsidR="001F1175" w:rsidRPr="00C8275B" w:rsidRDefault="001F1175" w:rsidP="0069692D">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Aplicaciones informáticas</w:t>
            </w:r>
          </w:p>
        </w:tc>
        <w:tc>
          <w:tcPr>
            <w:tcW w:w="1600" w:type="dxa"/>
            <w:tcBorders>
              <w:top w:val="nil"/>
              <w:left w:val="nil"/>
              <w:bottom w:val="nil"/>
              <w:right w:val="nil"/>
            </w:tcBorders>
            <w:shd w:val="clear" w:color="auto" w:fill="FFFFFF" w:themeFill="background1"/>
            <w:vAlign w:val="center"/>
            <w:hideMark/>
          </w:tcPr>
          <w:p w14:paraId="68E8A6B9"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946,35</w:t>
            </w:r>
          </w:p>
        </w:tc>
        <w:tc>
          <w:tcPr>
            <w:tcW w:w="1360" w:type="dxa"/>
            <w:tcBorders>
              <w:top w:val="nil"/>
              <w:left w:val="nil"/>
              <w:bottom w:val="nil"/>
              <w:right w:val="nil"/>
            </w:tcBorders>
            <w:shd w:val="clear" w:color="auto" w:fill="FFFFFF" w:themeFill="background1"/>
            <w:vAlign w:val="center"/>
            <w:hideMark/>
          </w:tcPr>
          <w:p w14:paraId="40510696" w14:textId="77777777" w:rsidR="001F1175" w:rsidRPr="00C8275B" w:rsidRDefault="001F1175" w:rsidP="00B3369E">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946,35</w:t>
            </w:r>
          </w:p>
        </w:tc>
      </w:tr>
      <w:tr w:rsidR="00405CC3" w:rsidRPr="00C8275B" w14:paraId="5C59C0E4" w14:textId="77777777" w:rsidTr="00414010">
        <w:trPr>
          <w:trHeight w:val="300"/>
          <w:jc w:val="center"/>
        </w:trPr>
        <w:tc>
          <w:tcPr>
            <w:tcW w:w="2200" w:type="dxa"/>
            <w:tcBorders>
              <w:top w:val="single" w:sz="4" w:space="0" w:color="auto"/>
              <w:left w:val="nil"/>
              <w:bottom w:val="single" w:sz="4" w:space="0" w:color="auto"/>
              <w:right w:val="nil"/>
            </w:tcBorders>
            <w:shd w:val="clear" w:color="auto" w:fill="FFFFFF" w:themeFill="background1"/>
            <w:noWrap/>
            <w:vAlign w:val="center"/>
            <w:hideMark/>
          </w:tcPr>
          <w:p w14:paraId="7F3C5684" w14:textId="77777777" w:rsidR="001F1175" w:rsidRPr="00C8275B" w:rsidRDefault="001F1175" w:rsidP="0069692D">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T O T A L</w:t>
            </w:r>
          </w:p>
        </w:tc>
        <w:tc>
          <w:tcPr>
            <w:tcW w:w="1600" w:type="dxa"/>
            <w:tcBorders>
              <w:top w:val="single" w:sz="4" w:space="0" w:color="auto"/>
              <w:left w:val="nil"/>
              <w:bottom w:val="single" w:sz="4" w:space="0" w:color="auto"/>
              <w:right w:val="nil"/>
            </w:tcBorders>
            <w:shd w:val="clear" w:color="auto" w:fill="FFFFFF" w:themeFill="background1"/>
            <w:vAlign w:val="center"/>
            <w:hideMark/>
          </w:tcPr>
          <w:p w14:paraId="48CFF692" w14:textId="77777777" w:rsidR="001F1175" w:rsidRPr="00C8275B" w:rsidRDefault="001F1175" w:rsidP="00B3369E">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c>
          <w:tcPr>
            <w:tcW w:w="1360" w:type="dxa"/>
            <w:tcBorders>
              <w:top w:val="single" w:sz="4" w:space="0" w:color="auto"/>
              <w:left w:val="nil"/>
              <w:bottom w:val="single" w:sz="4" w:space="0" w:color="auto"/>
              <w:right w:val="nil"/>
            </w:tcBorders>
            <w:shd w:val="clear" w:color="auto" w:fill="FFFFFF" w:themeFill="background1"/>
            <w:vAlign w:val="center"/>
            <w:hideMark/>
          </w:tcPr>
          <w:p w14:paraId="6D33192D" w14:textId="77777777" w:rsidR="001F1175" w:rsidRPr="00C8275B" w:rsidRDefault="001F1175" w:rsidP="00B3369E">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3.269,76</w:t>
            </w:r>
          </w:p>
        </w:tc>
      </w:tr>
    </w:tbl>
    <w:p w14:paraId="7E46808B" w14:textId="77777777" w:rsidR="004067B0" w:rsidRPr="00C8275B" w:rsidRDefault="004067B0" w:rsidP="000576A2">
      <w:pPr>
        <w:shd w:val="clear" w:color="auto" w:fill="FFFFFF"/>
        <w:spacing w:before="101"/>
        <w:ind w:firstLine="709"/>
        <w:jc w:val="both"/>
        <w:rPr>
          <w:rFonts w:ascii="Times New Roman" w:hAnsi="Times New Roman" w:cs="Times New Roman"/>
          <w:b/>
          <w:bCs/>
          <w:color w:val="0000FF"/>
          <w:spacing w:val="-3"/>
          <w:sz w:val="22"/>
          <w:szCs w:val="22"/>
          <w:lang w:val="es-ES_tradnl" w:eastAsia="es-ES_tradnl"/>
        </w:rPr>
      </w:pPr>
    </w:p>
    <w:p w14:paraId="2E14A528" w14:textId="77777777" w:rsidR="000576A2" w:rsidRPr="00C8275B" w:rsidRDefault="000576A2" w:rsidP="000576A2">
      <w:pPr>
        <w:shd w:val="clear" w:color="auto" w:fill="FFFFFF"/>
        <w:spacing w:before="101"/>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 xml:space="preserve">6. </w:t>
      </w:r>
      <w:r w:rsidRPr="00C8275B">
        <w:rPr>
          <w:rFonts w:ascii="Times New Roman" w:hAnsi="Times New Roman" w:cs="Times New Roman"/>
          <w:b/>
          <w:bCs/>
          <w:spacing w:val="-3"/>
          <w:sz w:val="22"/>
          <w:szCs w:val="22"/>
          <w:u w:val="double"/>
          <w:lang w:val="es-ES_tradnl" w:eastAsia="es-ES_tradnl"/>
        </w:rPr>
        <w:t xml:space="preserve">INMOVILIZADO MATERIAL </w:t>
      </w:r>
    </w:p>
    <w:p w14:paraId="6910A94C" w14:textId="3067F2B0" w:rsidR="00A132A5" w:rsidRPr="00C8275B" w:rsidRDefault="00A132A5" w:rsidP="00A132A5">
      <w:pPr>
        <w:pStyle w:val="Textoindependiente"/>
        <w:spacing w:before="166" w:after="240" w:line="276" w:lineRule="auto"/>
        <w:ind w:left="709" w:right="108"/>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Las partidas que componen el inmovilizado material de la Sociedad, así como el movimiento de cada una de estas partidas se puede observar en el cuadro siguiente:</w:t>
      </w:r>
    </w:p>
    <w:p w14:paraId="73D5C242" w14:textId="77777777" w:rsidR="00A132A5" w:rsidRPr="00C8275B"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1A3A91" w:rsidRPr="00C8275B">
        <w:rPr>
          <w:rFonts w:ascii="Times New Roman" w:hAnsi="Times New Roman" w:cs="Times New Roman"/>
          <w:b/>
          <w:color w:val="auto"/>
          <w:spacing w:val="-1"/>
          <w:sz w:val="22"/>
          <w:szCs w:val="22"/>
          <w:u w:val="single"/>
          <w:lang w:val="es-ES_tradnl" w:eastAsia="es-ES_tradnl"/>
        </w:rPr>
        <w:t>2022</w:t>
      </w:r>
    </w:p>
    <w:p w14:paraId="6A8A4BAB" w14:textId="13710321" w:rsidR="00A132A5" w:rsidRPr="00C8275B" w:rsidRDefault="00A132A5" w:rsidP="00A132A5">
      <w:pPr>
        <w:pStyle w:val="Default"/>
        <w:ind w:right="-284" w:firstLine="709"/>
        <w:rPr>
          <w:rFonts w:ascii="Times New Roman" w:hAnsi="Times New Roman" w:cs="Times New Roman"/>
          <w:b/>
          <w:color w:val="auto"/>
          <w:spacing w:val="-1"/>
          <w:sz w:val="22"/>
          <w:szCs w:val="22"/>
          <w:u w:val="single"/>
          <w:lang w:val="es-ES_tradnl" w:eastAsia="es-ES_tradnl"/>
        </w:rPr>
      </w:pPr>
    </w:p>
    <w:tbl>
      <w:tblPr>
        <w:tblW w:w="4891" w:type="pct"/>
        <w:tblInd w:w="637" w:type="dxa"/>
        <w:tblCellMar>
          <w:left w:w="70" w:type="dxa"/>
          <w:right w:w="70" w:type="dxa"/>
        </w:tblCellMar>
        <w:tblLook w:val="04A0" w:firstRow="1" w:lastRow="0" w:firstColumn="1" w:lastColumn="0" w:noHBand="0" w:noVBand="1"/>
      </w:tblPr>
      <w:tblGrid>
        <w:gridCol w:w="6218"/>
        <w:gridCol w:w="1215"/>
        <w:gridCol w:w="1091"/>
        <w:gridCol w:w="1182"/>
      </w:tblGrid>
      <w:tr w:rsidR="007F2C30" w:rsidRPr="00C8275B" w14:paraId="25EBC738" w14:textId="77777777" w:rsidTr="004A0638">
        <w:trPr>
          <w:trHeight w:val="781"/>
        </w:trPr>
        <w:tc>
          <w:tcPr>
            <w:tcW w:w="3203" w:type="pct"/>
            <w:tcBorders>
              <w:top w:val="single" w:sz="4" w:space="0" w:color="auto"/>
              <w:left w:val="nil"/>
              <w:bottom w:val="single" w:sz="4" w:space="0" w:color="auto"/>
              <w:right w:val="nil"/>
            </w:tcBorders>
            <w:shd w:val="clear" w:color="auto" w:fill="FFFFFF" w:themeFill="background1"/>
            <w:vAlign w:val="center"/>
            <w:hideMark/>
          </w:tcPr>
          <w:p w14:paraId="1A504090"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626" w:type="pct"/>
            <w:tcBorders>
              <w:top w:val="single" w:sz="4" w:space="0" w:color="auto"/>
              <w:left w:val="nil"/>
              <w:bottom w:val="single" w:sz="4" w:space="0" w:color="auto"/>
              <w:right w:val="nil"/>
            </w:tcBorders>
            <w:shd w:val="clear" w:color="auto" w:fill="FFFFFF" w:themeFill="background1"/>
            <w:vAlign w:val="center"/>
            <w:hideMark/>
          </w:tcPr>
          <w:p w14:paraId="13C9985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Terrenos y construcciones</w:t>
            </w:r>
          </w:p>
        </w:tc>
        <w:tc>
          <w:tcPr>
            <w:tcW w:w="562" w:type="pct"/>
            <w:tcBorders>
              <w:top w:val="single" w:sz="4" w:space="0" w:color="auto"/>
              <w:left w:val="nil"/>
              <w:bottom w:val="single" w:sz="4" w:space="0" w:color="auto"/>
              <w:right w:val="nil"/>
            </w:tcBorders>
            <w:shd w:val="clear" w:color="auto" w:fill="FFFFFF" w:themeFill="background1"/>
            <w:vAlign w:val="center"/>
            <w:hideMark/>
          </w:tcPr>
          <w:p w14:paraId="37E4F58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Instalaciones técnicas y otro inmovilizado material</w:t>
            </w:r>
          </w:p>
        </w:tc>
        <w:tc>
          <w:tcPr>
            <w:tcW w:w="609" w:type="pct"/>
            <w:tcBorders>
              <w:top w:val="single" w:sz="4" w:space="0" w:color="auto"/>
              <w:left w:val="nil"/>
              <w:bottom w:val="single" w:sz="4" w:space="0" w:color="auto"/>
              <w:right w:val="nil"/>
            </w:tcBorders>
            <w:shd w:val="clear" w:color="auto" w:fill="FFFFFF" w:themeFill="background1"/>
            <w:vAlign w:val="center"/>
            <w:hideMark/>
          </w:tcPr>
          <w:p w14:paraId="65AC815D"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r>
      <w:tr w:rsidR="007F2C30" w:rsidRPr="00C8275B" w14:paraId="6D66676E"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6146818A"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A) SALDO INICIAL BRUTO, EJERCICIO 2021</w:t>
            </w:r>
          </w:p>
        </w:tc>
        <w:tc>
          <w:tcPr>
            <w:tcW w:w="626" w:type="pct"/>
            <w:tcBorders>
              <w:top w:val="nil"/>
              <w:left w:val="nil"/>
              <w:bottom w:val="single" w:sz="4" w:space="0" w:color="auto"/>
              <w:right w:val="nil"/>
            </w:tcBorders>
            <w:shd w:val="clear" w:color="auto" w:fill="auto"/>
            <w:noWrap/>
            <w:vAlign w:val="center"/>
            <w:hideMark/>
          </w:tcPr>
          <w:p w14:paraId="68E46EE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1E80C4E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925.105,12</w:t>
            </w:r>
          </w:p>
        </w:tc>
        <w:tc>
          <w:tcPr>
            <w:tcW w:w="609" w:type="pct"/>
            <w:tcBorders>
              <w:top w:val="nil"/>
              <w:left w:val="nil"/>
              <w:bottom w:val="single" w:sz="4" w:space="0" w:color="auto"/>
              <w:right w:val="nil"/>
            </w:tcBorders>
            <w:shd w:val="clear" w:color="auto" w:fill="auto"/>
            <w:noWrap/>
            <w:vAlign w:val="center"/>
            <w:hideMark/>
          </w:tcPr>
          <w:p w14:paraId="4D0FACD6"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17.528.037,40</w:t>
            </w:r>
          </w:p>
        </w:tc>
      </w:tr>
      <w:tr w:rsidR="007F2C30" w:rsidRPr="00C8275B" w14:paraId="04B4C023"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0C9AD110"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Adquisiciones mediante combinaciones de negocios</w:t>
            </w:r>
          </w:p>
        </w:tc>
        <w:tc>
          <w:tcPr>
            <w:tcW w:w="626" w:type="pct"/>
            <w:tcBorders>
              <w:top w:val="nil"/>
              <w:left w:val="nil"/>
              <w:bottom w:val="single" w:sz="4" w:space="0" w:color="auto"/>
              <w:right w:val="nil"/>
            </w:tcBorders>
            <w:shd w:val="clear" w:color="auto" w:fill="auto"/>
            <w:noWrap/>
            <w:vAlign w:val="center"/>
            <w:hideMark/>
          </w:tcPr>
          <w:p w14:paraId="2A530E15"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562" w:type="pct"/>
            <w:tcBorders>
              <w:top w:val="nil"/>
              <w:left w:val="nil"/>
              <w:bottom w:val="single" w:sz="4" w:space="0" w:color="auto"/>
              <w:right w:val="nil"/>
            </w:tcBorders>
            <w:shd w:val="clear" w:color="auto" w:fill="auto"/>
            <w:noWrap/>
            <w:vAlign w:val="center"/>
            <w:hideMark/>
          </w:tcPr>
          <w:p w14:paraId="4F50091B"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14.988,00</w:t>
            </w:r>
          </w:p>
        </w:tc>
        <w:tc>
          <w:tcPr>
            <w:tcW w:w="609" w:type="pct"/>
            <w:tcBorders>
              <w:top w:val="nil"/>
              <w:left w:val="nil"/>
              <w:bottom w:val="single" w:sz="4" w:space="0" w:color="auto"/>
              <w:right w:val="nil"/>
            </w:tcBorders>
            <w:shd w:val="clear" w:color="auto" w:fill="auto"/>
            <w:noWrap/>
            <w:vAlign w:val="center"/>
            <w:hideMark/>
          </w:tcPr>
          <w:p w14:paraId="4C7A239B"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14.988,00</w:t>
            </w:r>
          </w:p>
        </w:tc>
      </w:tr>
      <w:tr w:rsidR="007F2C30" w:rsidRPr="00C8275B" w14:paraId="250A63E3"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253BB57D"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B) SALDO FINAL BRUTO, EJERCICIO 2021</w:t>
            </w:r>
          </w:p>
        </w:tc>
        <w:tc>
          <w:tcPr>
            <w:tcW w:w="626" w:type="pct"/>
            <w:tcBorders>
              <w:top w:val="nil"/>
              <w:left w:val="nil"/>
              <w:bottom w:val="single" w:sz="4" w:space="0" w:color="auto"/>
              <w:right w:val="nil"/>
            </w:tcBorders>
            <w:shd w:val="clear" w:color="auto" w:fill="auto"/>
            <w:noWrap/>
            <w:vAlign w:val="center"/>
            <w:hideMark/>
          </w:tcPr>
          <w:p w14:paraId="7EAE4DC7"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7FEAD58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940.093,12</w:t>
            </w:r>
          </w:p>
        </w:tc>
        <w:tc>
          <w:tcPr>
            <w:tcW w:w="609" w:type="pct"/>
            <w:tcBorders>
              <w:top w:val="nil"/>
              <w:left w:val="nil"/>
              <w:bottom w:val="single" w:sz="4" w:space="0" w:color="auto"/>
              <w:right w:val="nil"/>
            </w:tcBorders>
            <w:shd w:val="clear" w:color="auto" w:fill="auto"/>
            <w:noWrap/>
            <w:vAlign w:val="center"/>
            <w:hideMark/>
          </w:tcPr>
          <w:p w14:paraId="6F0EC78D"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17.543.025,40</w:t>
            </w:r>
          </w:p>
        </w:tc>
      </w:tr>
      <w:tr w:rsidR="007F2C30" w:rsidRPr="00C8275B" w14:paraId="77CF6DF2"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1AA6B217"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C) SALDO INICIAL BRUTO, EJERCICIO 2022</w:t>
            </w:r>
          </w:p>
        </w:tc>
        <w:tc>
          <w:tcPr>
            <w:tcW w:w="626" w:type="pct"/>
            <w:tcBorders>
              <w:top w:val="nil"/>
              <w:left w:val="nil"/>
              <w:bottom w:val="single" w:sz="4" w:space="0" w:color="auto"/>
              <w:right w:val="nil"/>
            </w:tcBorders>
            <w:shd w:val="clear" w:color="auto" w:fill="auto"/>
            <w:noWrap/>
            <w:vAlign w:val="center"/>
            <w:hideMark/>
          </w:tcPr>
          <w:p w14:paraId="080ADFCB"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2438348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940.093,12</w:t>
            </w:r>
          </w:p>
        </w:tc>
        <w:tc>
          <w:tcPr>
            <w:tcW w:w="609" w:type="pct"/>
            <w:tcBorders>
              <w:top w:val="nil"/>
              <w:left w:val="nil"/>
              <w:bottom w:val="single" w:sz="4" w:space="0" w:color="auto"/>
              <w:right w:val="nil"/>
            </w:tcBorders>
            <w:shd w:val="clear" w:color="auto" w:fill="auto"/>
            <w:noWrap/>
            <w:vAlign w:val="center"/>
            <w:hideMark/>
          </w:tcPr>
          <w:p w14:paraId="1B4316D3"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17.543.025,40</w:t>
            </w:r>
          </w:p>
        </w:tc>
      </w:tr>
      <w:tr w:rsidR="007F2C30" w:rsidRPr="00C8275B" w14:paraId="5BD1CE35"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6BB9E030"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Adquisiciones mediante combinaciones de negocios</w:t>
            </w:r>
          </w:p>
        </w:tc>
        <w:tc>
          <w:tcPr>
            <w:tcW w:w="626" w:type="pct"/>
            <w:tcBorders>
              <w:top w:val="nil"/>
              <w:left w:val="nil"/>
              <w:bottom w:val="single" w:sz="4" w:space="0" w:color="auto"/>
              <w:right w:val="nil"/>
            </w:tcBorders>
            <w:shd w:val="clear" w:color="auto" w:fill="auto"/>
            <w:noWrap/>
            <w:vAlign w:val="center"/>
            <w:hideMark/>
          </w:tcPr>
          <w:p w14:paraId="54DA7444"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562" w:type="pct"/>
            <w:tcBorders>
              <w:top w:val="nil"/>
              <w:left w:val="nil"/>
              <w:bottom w:val="single" w:sz="4" w:space="0" w:color="auto"/>
              <w:right w:val="nil"/>
            </w:tcBorders>
            <w:shd w:val="clear" w:color="auto" w:fill="auto"/>
            <w:noWrap/>
            <w:vAlign w:val="center"/>
            <w:hideMark/>
          </w:tcPr>
          <w:p w14:paraId="5BAB4505"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56.823,41</w:t>
            </w:r>
          </w:p>
        </w:tc>
        <w:tc>
          <w:tcPr>
            <w:tcW w:w="609" w:type="pct"/>
            <w:tcBorders>
              <w:top w:val="nil"/>
              <w:left w:val="nil"/>
              <w:bottom w:val="single" w:sz="4" w:space="0" w:color="auto"/>
              <w:right w:val="nil"/>
            </w:tcBorders>
            <w:shd w:val="clear" w:color="auto" w:fill="auto"/>
            <w:noWrap/>
            <w:vAlign w:val="center"/>
            <w:hideMark/>
          </w:tcPr>
          <w:p w14:paraId="5483B55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56.823,41</w:t>
            </w:r>
          </w:p>
        </w:tc>
      </w:tr>
      <w:tr w:rsidR="007F2C30" w:rsidRPr="00C8275B" w14:paraId="313688BE"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1AE0B926"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D) SALDO FINAL BRUTO, EJERCICIO 2022</w:t>
            </w:r>
          </w:p>
        </w:tc>
        <w:tc>
          <w:tcPr>
            <w:tcW w:w="626" w:type="pct"/>
            <w:tcBorders>
              <w:top w:val="nil"/>
              <w:left w:val="nil"/>
              <w:bottom w:val="single" w:sz="4" w:space="0" w:color="auto"/>
              <w:right w:val="nil"/>
            </w:tcBorders>
            <w:shd w:val="clear" w:color="auto" w:fill="auto"/>
            <w:noWrap/>
            <w:vAlign w:val="center"/>
            <w:hideMark/>
          </w:tcPr>
          <w:p w14:paraId="3A2B9DE1"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16.602.932,28</w:t>
            </w:r>
          </w:p>
        </w:tc>
        <w:tc>
          <w:tcPr>
            <w:tcW w:w="562" w:type="pct"/>
            <w:tcBorders>
              <w:top w:val="nil"/>
              <w:left w:val="nil"/>
              <w:bottom w:val="single" w:sz="4" w:space="0" w:color="auto"/>
              <w:right w:val="nil"/>
            </w:tcBorders>
            <w:shd w:val="clear" w:color="auto" w:fill="auto"/>
            <w:noWrap/>
            <w:vAlign w:val="center"/>
            <w:hideMark/>
          </w:tcPr>
          <w:p w14:paraId="3654879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996.916,53</w:t>
            </w:r>
          </w:p>
        </w:tc>
        <w:tc>
          <w:tcPr>
            <w:tcW w:w="609" w:type="pct"/>
            <w:tcBorders>
              <w:top w:val="nil"/>
              <w:left w:val="nil"/>
              <w:bottom w:val="single" w:sz="4" w:space="0" w:color="auto"/>
              <w:right w:val="nil"/>
            </w:tcBorders>
            <w:shd w:val="clear" w:color="auto" w:fill="auto"/>
            <w:noWrap/>
            <w:vAlign w:val="center"/>
            <w:hideMark/>
          </w:tcPr>
          <w:p w14:paraId="63E3B22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17.599.848,81</w:t>
            </w:r>
          </w:p>
        </w:tc>
      </w:tr>
      <w:tr w:rsidR="007F2C30" w:rsidRPr="00C8275B" w14:paraId="3A1981DF"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14289D32"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E) AMORTIZACIÓN ACUMULADA, SALDO INICIAL EJERCICIO 2021</w:t>
            </w:r>
          </w:p>
        </w:tc>
        <w:tc>
          <w:tcPr>
            <w:tcW w:w="626" w:type="pct"/>
            <w:tcBorders>
              <w:top w:val="nil"/>
              <w:left w:val="nil"/>
              <w:bottom w:val="single" w:sz="4" w:space="0" w:color="auto"/>
              <w:right w:val="nil"/>
            </w:tcBorders>
            <w:shd w:val="clear" w:color="auto" w:fill="auto"/>
            <w:noWrap/>
            <w:vAlign w:val="center"/>
            <w:hideMark/>
          </w:tcPr>
          <w:p w14:paraId="7523352B"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990.823,40</w:t>
            </w:r>
          </w:p>
        </w:tc>
        <w:tc>
          <w:tcPr>
            <w:tcW w:w="562" w:type="pct"/>
            <w:tcBorders>
              <w:top w:val="nil"/>
              <w:left w:val="nil"/>
              <w:bottom w:val="single" w:sz="4" w:space="0" w:color="auto"/>
              <w:right w:val="nil"/>
            </w:tcBorders>
            <w:shd w:val="clear" w:color="auto" w:fill="auto"/>
            <w:noWrap/>
            <w:vAlign w:val="center"/>
            <w:hideMark/>
          </w:tcPr>
          <w:p w14:paraId="62BBA0B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800.600,02</w:t>
            </w:r>
          </w:p>
        </w:tc>
        <w:tc>
          <w:tcPr>
            <w:tcW w:w="609" w:type="pct"/>
            <w:tcBorders>
              <w:top w:val="nil"/>
              <w:left w:val="nil"/>
              <w:bottom w:val="single" w:sz="4" w:space="0" w:color="auto"/>
              <w:right w:val="nil"/>
            </w:tcBorders>
            <w:shd w:val="clear" w:color="auto" w:fill="auto"/>
            <w:noWrap/>
            <w:vAlign w:val="center"/>
            <w:hideMark/>
          </w:tcPr>
          <w:p w14:paraId="531079B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1.791.423,42</w:t>
            </w:r>
          </w:p>
        </w:tc>
      </w:tr>
      <w:tr w:rsidR="007F2C30" w:rsidRPr="00C8275B" w14:paraId="76D51242"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7F982A8A"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2021</w:t>
            </w:r>
          </w:p>
        </w:tc>
        <w:tc>
          <w:tcPr>
            <w:tcW w:w="626" w:type="pct"/>
            <w:tcBorders>
              <w:top w:val="nil"/>
              <w:left w:val="nil"/>
              <w:bottom w:val="single" w:sz="4" w:space="0" w:color="auto"/>
              <w:right w:val="nil"/>
            </w:tcBorders>
            <w:shd w:val="clear" w:color="auto" w:fill="auto"/>
            <w:noWrap/>
            <w:vAlign w:val="center"/>
            <w:hideMark/>
          </w:tcPr>
          <w:p w14:paraId="0BA4EADE"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115.189,03</w:t>
            </w:r>
          </w:p>
        </w:tc>
        <w:tc>
          <w:tcPr>
            <w:tcW w:w="562" w:type="pct"/>
            <w:tcBorders>
              <w:top w:val="nil"/>
              <w:left w:val="nil"/>
              <w:bottom w:val="single" w:sz="4" w:space="0" w:color="auto"/>
              <w:right w:val="nil"/>
            </w:tcBorders>
            <w:shd w:val="clear" w:color="auto" w:fill="auto"/>
            <w:noWrap/>
            <w:vAlign w:val="center"/>
            <w:hideMark/>
          </w:tcPr>
          <w:p w14:paraId="50D30E81"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31.147,74</w:t>
            </w:r>
          </w:p>
        </w:tc>
        <w:tc>
          <w:tcPr>
            <w:tcW w:w="609" w:type="pct"/>
            <w:tcBorders>
              <w:top w:val="nil"/>
              <w:left w:val="nil"/>
              <w:bottom w:val="single" w:sz="4" w:space="0" w:color="auto"/>
              <w:right w:val="nil"/>
            </w:tcBorders>
            <w:shd w:val="clear" w:color="auto" w:fill="auto"/>
            <w:noWrap/>
            <w:vAlign w:val="center"/>
            <w:hideMark/>
          </w:tcPr>
          <w:p w14:paraId="4BE04C1F"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146.336,77</w:t>
            </w:r>
          </w:p>
        </w:tc>
      </w:tr>
      <w:tr w:rsidR="007F2C30" w:rsidRPr="00C8275B" w14:paraId="07164D1E"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672A5560"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F) AMORTIZACION ACUMULADA, SALDO FINAL EJERCICIO 2021</w:t>
            </w:r>
          </w:p>
        </w:tc>
        <w:tc>
          <w:tcPr>
            <w:tcW w:w="626" w:type="pct"/>
            <w:tcBorders>
              <w:top w:val="nil"/>
              <w:left w:val="nil"/>
              <w:bottom w:val="single" w:sz="4" w:space="0" w:color="auto"/>
              <w:right w:val="nil"/>
            </w:tcBorders>
            <w:shd w:val="clear" w:color="auto" w:fill="auto"/>
            <w:noWrap/>
            <w:vAlign w:val="center"/>
            <w:hideMark/>
          </w:tcPr>
          <w:p w14:paraId="5E1A373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1.106.012,43</w:t>
            </w:r>
          </w:p>
        </w:tc>
        <w:tc>
          <w:tcPr>
            <w:tcW w:w="562" w:type="pct"/>
            <w:tcBorders>
              <w:top w:val="nil"/>
              <w:left w:val="nil"/>
              <w:bottom w:val="single" w:sz="4" w:space="0" w:color="auto"/>
              <w:right w:val="nil"/>
            </w:tcBorders>
            <w:shd w:val="clear" w:color="auto" w:fill="auto"/>
            <w:noWrap/>
            <w:vAlign w:val="center"/>
            <w:hideMark/>
          </w:tcPr>
          <w:p w14:paraId="2EC41B2F"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831.747,76</w:t>
            </w:r>
          </w:p>
        </w:tc>
        <w:tc>
          <w:tcPr>
            <w:tcW w:w="609" w:type="pct"/>
            <w:tcBorders>
              <w:top w:val="nil"/>
              <w:left w:val="nil"/>
              <w:bottom w:val="single" w:sz="4" w:space="0" w:color="auto"/>
              <w:right w:val="nil"/>
            </w:tcBorders>
            <w:shd w:val="clear" w:color="auto" w:fill="auto"/>
            <w:noWrap/>
            <w:vAlign w:val="center"/>
            <w:hideMark/>
          </w:tcPr>
          <w:p w14:paraId="34539F62"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1.937.760,19</w:t>
            </w:r>
          </w:p>
        </w:tc>
      </w:tr>
      <w:tr w:rsidR="007F2C30" w:rsidRPr="00C8275B" w14:paraId="5B19C36D"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7D993B8E"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G) AMORTIZACIÓN ACUMULADA, SALDO INICIAL EJERCICIO 2022</w:t>
            </w:r>
          </w:p>
        </w:tc>
        <w:tc>
          <w:tcPr>
            <w:tcW w:w="626" w:type="pct"/>
            <w:tcBorders>
              <w:top w:val="nil"/>
              <w:left w:val="nil"/>
              <w:bottom w:val="single" w:sz="4" w:space="0" w:color="auto"/>
              <w:right w:val="nil"/>
            </w:tcBorders>
            <w:shd w:val="clear" w:color="auto" w:fill="auto"/>
            <w:noWrap/>
            <w:vAlign w:val="center"/>
            <w:hideMark/>
          </w:tcPr>
          <w:p w14:paraId="7A8EB79C"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1.106.012,43</w:t>
            </w:r>
          </w:p>
        </w:tc>
        <w:tc>
          <w:tcPr>
            <w:tcW w:w="562" w:type="pct"/>
            <w:tcBorders>
              <w:top w:val="nil"/>
              <w:left w:val="nil"/>
              <w:bottom w:val="single" w:sz="4" w:space="0" w:color="auto"/>
              <w:right w:val="nil"/>
            </w:tcBorders>
            <w:shd w:val="clear" w:color="auto" w:fill="auto"/>
            <w:noWrap/>
            <w:vAlign w:val="center"/>
            <w:hideMark/>
          </w:tcPr>
          <w:p w14:paraId="5026D3C8"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831.747,76</w:t>
            </w:r>
          </w:p>
        </w:tc>
        <w:tc>
          <w:tcPr>
            <w:tcW w:w="609" w:type="pct"/>
            <w:tcBorders>
              <w:top w:val="nil"/>
              <w:left w:val="nil"/>
              <w:bottom w:val="single" w:sz="4" w:space="0" w:color="auto"/>
              <w:right w:val="nil"/>
            </w:tcBorders>
            <w:shd w:val="clear" w:color="auto" w:fill="auto"/>
            <w:noWrap/>
            <w:vAlign w:val="center"/>
            <w:hideMark/>
          </w:tcPr>
          <w:p w14:paraId="7C978016"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1.937.760,19</w:t>
            </w:r>
          </w:p>
        </w:tc>
      </w:tr>
      <w:tr w:rsidR="007F2C30" w:rsidRPr="00C8275B" w14:paraId="18B3D1FB"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066B1B1F" w14:textId="77777777" w:rsidR="007F2C30" w:rsidRPr="00C8275B" w:rsidRDefault="007F2C30" w:rsidP="007F2C30">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 Dotación a la amortización del ejercicio 2022</w:t>
            </w:r>
          </w:p>
        </w:tc>
        <w:tc>
          <w:tcPr>
            <w:tcW w:w="626" w:type="pct"/>
            <w:tcBorders>
              <w:top w:val="nil"/>
              <w:left w:val="nil"/>
              <w:bottom w:val="single" w:sz="4" w:space="0" w:color="auto"/>
              <w:right w:val="nil"/>
            </w:tcBorders>
            <w:shd w:val="clear" w:color="auto" w:fill="auto"/>
            <w:noWrap/>
            <w:vAlign w:val="center"/>
            <w:hideMark/>
          </w:tcPr>
          <w:p w14:paraId="55FC24AA"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115.189,03</w:t>
            </w:r>
          </w:p>
        </w:tc>
        <w:tc>
          <w:tcPr>
            <w:tcW w:w="562" w:type="pct"/>
            <w:tcBorders>
              <w:top w:val="nil"/>
              <w:left w:val="nil"/>
              <w:bottom w:val="single" w:sz="4" w:space="0" w:color="auto"/>
              <w:right w:val="nil"/>
            </w:tcBorders>
            <w:shd w:val="clear" w:color="auto" w:fill="auto"/>
            <w:noWrap/>
            <w:vAlign w:val="center"/>
            <w:hideMark/>
          </w:tcPr>
          <w:p w14:paraId="451774A2"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28.933,86</w:t>
            </w:r>
          </w:p>
        </w:tc>
        <w:tc>
          <w:tcPr>
            <w:tcW w:w="609" w:type="pct"/>
            <w:tcBorders>
              <w:top w:val="nil"/>
              <w:left w:val="nil"/>
              <w:bottom w:val="single" w:sz="4" w:space="0" w:color="auto"/>
              <w:right w:val="nil"/>
            </w:tcBorders>
            <w:shd w:val="clear" w:color="auto" w:fill="auto"/>
            <w:noWrap/>
            <w:vAlign w:val="center"/>
            <w:hideMark/>
          </w:tcPr>
          <w:p w14:paraId="2FE253C1" w14:textId="77777777" w:rsidR="007F2C30" w:rsidRPr="00C8275B" w:rsidRDefault="007F2C30" w:rsidP="007F2C30">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144.122,89</w:t>
            </w:r>
          </w:p>
        </w:tc>
      </w:tr>
      <w:tr w:rsidR="007F2C30" w:rsidRPr="00C8275B" w14:paraId="0FFB6CA8"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458B4CDF"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H) AMORTIZACIÓN ACUMULADA, SALDO FINAL EJERCICIO 2022</w:t>
            </w:r>
          </w:p>
        </w:tc>
        <w:tc>
          <w:tcPr>
            <w:tcW w:w="626" w:type="pct"/>
            <w:tcBorders>
              <w:top w:val="nil"/>
              <w:left w:val="nil"/>
              <w:bottom w:val="single" w:sz="4" w:space="0" w:color="auto"/>
              <w:right w:val="nil"/>
            </w:tcBorders>
            <w:shd w:val="clear" w:color="auto" w:fill="auto"/>
            <w:noWrap/>
            <w:vAlign w:val="center"/>
            <w:hideMark/>
          </w:tcPr>
          <w:p w14:paraId="0C10D3D1"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1.221.201,46</w:t>
            </w:r>
          </w:p>
        </w:tc>
        <w:tc>
          <w:tcPr>
            <w:tcW w:w="562" w:type="pct"/>
            <w:tcBorders>
              <w:top w:val="nil"/>
              <w:left w:val="nil"/>
              <w:bottom w:val="single" w:sz="4" w:space="0" w:color="auto"/>
              <w:right w:val="nil"/>
            </w:tcBorders>
            <w:shd w:val="clear" w:color="auto" w:fill="auto"/>
            <w:noWrap/>
            <w:vAlign w:val="center"/>
            <w:hideMark/>
          </w:tcPr>
          <w:p w14:paraId="7C9AB35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860.681,62</w:t>
            </w:r>
          </w:p>
        </w:tc>
        <w:tc>
          <w:tcPr>
            <w:tcW w:w="609" w:type="pct"/>
            <w:tcBorders>
              <w:top w:val="nil"/>
              <w:left w:val="nil"/>
              <w:bottom w:val="single" w:sz="4" w:space="0" w:color="auto"/>
              <w:right w:val="nil"/>
            </w:tcBorders>
            <w:shd w:val="clear" w:color="auto" w:fill="auto"/>
            <w:noWrap/>
            <w:vAlign w:val="center"/>
            <w:hideMark/>
          </w:tcPr>
          <w:p w14:paraId="55E01110"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2.081.883,08</w:t>
            </w:r>
          </w:p>
        </w:tc>
      </w:tr>
      <w:tr w:rsidR="007F2C30" w:rsidRPr="00C8275B" w14:paraId="0D6C2FB0" w14:textId="77777777" w:rsidTr="004A0638">
        <w:trPr>
          <w:trHeight w:val="260"/>
        </w:trPr>
        <w:tc>
          <w:tcPr>
            <w:tcW w:w="3203" w:type="pct"/>
            <w:tcBorders>
              <w:top w:val="nil"/>
              <w:left w:val="nil"/>
              <w:bottom w:val="single" w:sz="4" w:space="0" w:color="auto"/>
              <w:right w:val="nil"/>
            </w:tcBorders>
            <w:shd w:val="clear" w:color="auto" w:fill="auto"/>
            <w:noWrap/>
            <w:vAlign w:val="center"/>
            <w:hideMark/>
          </w:tcPr>
          <w:p w14:paraId="3B841457" w14:textId="77777777" w:rsidR="007F2C30" w:rsidRPr="00C8275B" w:rsidRDefault="007F2C30" w:rsidP="007F2C30">
            <w:pPr>
              <w:widowControl/>
              <w:autoSpaceDE/>
              <w:autoSpaceDN/>
              <w:adjustRightInd/>
              <w:rPr>
                <w:rFonts w:ascii="Times New Roman" w:hAnsi="Times New Roman" w:cs="Times New Roman"/>
                <w:b/>
                <w:bCs/>
                <w:sz w:val="18"/>
                <w:szCs w:val="18"/>
              </w:rPr>
            </w:pPr>
            <w:r w:rsidRPr="00C8275B">
              <w:rPr>
                <w:rFonts w:ascii="Times New Roman" w:hAnsi="Times New Roman" w:cs="Times New Roman"/>
                <w:b/>
                <w:bCs/>
                <w:sz w:val="18"/>
                <w:szCs w:val="18"/>
              </w:rPr>
              <w:t>M) VALOR NETO CONTABLE FINAL EJERCICIO 2022</w:t>
            </w:r>
          </w:p>
        </w:tc>
        <w:tc>
          <w:tcPr>
            <w:tcW w:w="626" w:type="pct"/>
            <w:tcBorders>
              <w:top w:val="nil"/>
              <w:left w:val="nil"/>
              <w:bottom w:val="single" w:sz="4" w:space="0" w:color="auto"/>
              <w:right w:val="nil"/>
            </w:tcBorders>
            <w:shd w:val="clear" w:color="auto" w:fill="auto"/>
            <w:noWrap/>
            <w:vAlign w:val="center"/>
            <w:hideMark/>
          </w:tcPr>
          <w:p w14:paraId="550D26FE"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15.381.730,82</w:t>
            </w:r>
          </w:p>
        </w:tc>
        <w:tc>
          <w:tcPr>
            <w:tcW w:w="562" w:type="pct"/>
            <w:tcBorders>
              <w:top w:val="nil"/>
              <w:left w:val="nil"/>
              <w:bottom w:val="single" w:sz="4" w:space="0" w:color="auto"/>
              <w:right w:val="nil"/>
            </w:tcBorders>
            <w:shd w:val="clear" w:color="auto" w:fill="auto"/>
            <w:noWrap/>
            <w:vAlign w:val="center"/>
            <w:hideMark/>
          </w:tcPr>
          <w:p w14:paraId="749DD2DC"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136.234,91</w:t>
            </w:r>
          </w:p>
        </w:tc>
        <w:tc>
          <w:tcPr>
            <w:tcW w:w="609" w:type="pct"/>
            <w:tcBorders>
              <w:top w:val="nil"/>
              <w:left w:val="nil"/>
              <w:bottom w:val="single" w:sz="4" w:space="0" w:color="auto"/>
              <w:right w:val="nil"/>
            </w:tcBorders>
            <w:shd w:val="clear" w:color="auto" w:fill="auto"/>
            <w:noWrap/>
            <w:vAlign w:val="center"/>
            <w:hideMark/>
          </w:tcPr>
          <w:p w14:paraId="65AF3409" w14:textId="77777777" w:rsidR="007F2C30" w:rsidRPr="00C8275B" w:rsidRDefault="007F2C30" w:rsidP="007F2C30">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15.517.965,73</w:t>
            </w:r>
          </w:p>
        </w:tc>
      </w:tr>
    </w:tbl>
    <w:p w14:paraId="4D11B646" w14:textId="77777777" w:rsidR="00FD2362" w:rsidRDefault="00FD2362" w:rsidP="003F3BCE">
      <w:pPr>
        <w:pStyle w:val="Default"/>
        <w:ind w:right="-284" w:firstLine="709"/>
        <w:rPr>
          <w:rFonts w:ascii="Times New Roman" w:hAnsi="Times New Roman" w:cs="Times New Roman"/>
          <w:b/>
          <w:color w:val="auto"/>
          <w:spacing w:val="-1"/>
          <w:sz w:val="22"/>
          <w:szCs w:val="22"/>
          <w:u w:val="single"/>
          <w:lang w:val="es-ES_tradnl" w:eastAsia="es-ES_tradnl"/>
        </w:rPr>
      </w:pPr>
    </w:p>
    <w:p w14:paraId="49968BAE" w14:textId="77777777" w:rsidR="00FD2362" w:rsidRDefault="00FD2362" w:rsidP="003F3BCE">
      <w:pPr>
        <w:pStyle w:val="Default"/>
        <w:ind w:right="-284" w:firstLine="709"/>
        <w:rPr>
          <w:rFonts w:ascii="Times New Roman" w:hAnsi="Times New Roman" w:cs="Times New Roman"/>
          <w:b/>
          <w:color w:val="auto"/>
          <w:spacing w:val="-1"/>
          <w:sz w:val="22"/>
          <w:szCs w:val="22"/>
          <w:u w:val="single"/>
          <w:lang w:val="es-ES_tradnl" w:eastAsia="es-ES_tradnl"/>
        </w:rPr>
      </w:pPr>
    </w:p>
    <w:p w14:paraId="7BE62ECB" w14:textId="3B8A7425"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r w:rsidRPr="00C8275B">
        <w:rPr>
          <w:rFonts w:ascii="Times New Roman" w:hAnsi="Times New Roman" w:cs="Times New Roman"/>
          <w:b/>
          <w:color w:val="auto"/>
          <w:spacing w:val="-1"/>
          <w:sz w:val="22"/>
          <w:szCs w:val="22"/>
          <w:u w:val="single"/>
          <w:lang w:val="es-ES_tradnl" w:eastAsia="es-ES_tradnl"/>
        </w:rPr>
        <w:t xml:space="preserve">Ejercicio </w:t>
      </w:r>
      <w:r w:rsidR="001E767C" w:rsidRPr="00C8275B">
        <w:rPr>
          <w:rFonts w:ascii="Times New Roman" w:hAnsi="Times New Roman" w:cs="Times New Roman"/>
          <w:b/>
          <w:color w:val="auto"/>
          <w:spacing w:val="-1"/>
          <w:sz w:val="22"/>
          <w:szCs w:val="22"/>
          <w:u w:val="single"/>
          <w:lang w:val="es-ES_tradnl" w:eastAsia="es-ES_tradnl"/>
        </w:rPr>
        <w:t>2021</w:t>
      </w:r>
    </w:p>
    <w:p w14:paraId="489E2193" w14:textId="222D3AD9" w:rsidR="003F3BCE" w:rsidRPr="00C8275B" w:rsidRDefault="003F3BCE" w:rsidP="003F3BCE">
      <w:pPr>
        <w:pStyle w:val="Default"/>
        <w:ind w:right="-284" w:firstLine="709"/>
        <w:rPr>
          <w:rFonts w:ascii="Times New Roman" w:hAnsi="Times New Roman" w:cs="Times New Roman"/>
          <w:b/>
          <w:color w:val="auto"/>
          <w:spacing w:val="-1"/>
          <w:sz w:val="22"/>
          <w:szCs w:val="22"/>
          <w:u w:val="single"/>
          <w:lang w:val="es-ES_tradnl" w:eastAsia="es-ES_tradnl"/>
        </w:rPr>
      </w:pPr>
    </w:p>
    <w:tbl>
      <w:tblPr>
        <w:tblW w:w="9926" w:type="dxa"/>
        <w:tblInd w:w="637" w:type="dxa"/>
        <w:tblCellMar>
          <w:left w:w="70" w:type="dxa"/>
          <w:right w:w="70" w:type="dxa"/>
        </w:tblCellMar>
        <w:tblLook w:val="04A0" w:firstRow="1" w:lastRow="0" w:firstColumn="1" w:lastColumn="0" w:noHBand="0" w:noVBand="1"/>
      </w:tblPr>
      <w:tblGrid>
        <w:gridCol w:w="5812"/>
        <w:gridCol w:w="1598"/>
        <w:gridCol w:w="1161"/>
        <w:gridCol w:w="1355"/>
      </w:tblGrid>
      <w:tr w:rsidR="007F2C30" w:rsidRPr="00C8275B" w14:paraId="30C36342" w14:textId="77777777" w:rsidTr="004A0638">
        <w:trPr>
          <w:trHeight w:val="697"/>
        </w:trPr>
        <w:tc>
          <w:tcPr>
            <w:tcW w:w="5812" w:type="dxa"/>
            <w:tcBorders>
              <w:top w:val="single" w:sz="4" w:space="0" w:color="auto"/>
              <w:left w:val="nil"/>
              <w:bottom w:val="single" w:sz="4" w:space="0" w:color="auto"/>
              <w:right w:val="nil"/>
            </w:tcBorders>
            <w:shd w:val="clear" w:color="auto" w:fill="FFFFFF" w:themeFill="background1"/>
            <w:noWrap/>
            <w:vAlign w:val="center"/>
            <w:hideMark/>
          </w:tcPr>
          <w:p w14:paraId="17F2D6F8"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w:t>
            </w:r>
          </w:p>
        </w:tc>
        <w:tc>
          <w:tcPr>
            <w:tcW w:w="1598" w:type="dxa"/>
            <w:tcBorders>
              <w:top w:val="single" w:sz="4" w:space="0" w:color="auto"/>
              <w:left w:val="nil"/>
              <w:bottom w:val="single" w:sz="4" w:space="0" w:color="auto"/>
              <w:right w:val="nil"/>
            </w:tcBorders>
            <w:shd w:val="clear" w:color="auto" w:fill="FFFFFF" w:themeFill="background1"/>
            <w:vAlign w:val="center"/>
            <w:hideMark/>
          </w:tcPr>
          <w:p w14:paraId="5A2DA69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Terrenos y construcciones</w:t>
            </w:r>
          </w:p>
        </w:tc>
        <w:tc>
          <w:tcPr>
            <w:tcW w:w="1161" w:type="dxa"/>
            <w:tcBorders>
              <w:top w:val="single" w:sz="4" w:space="0" w:color="auto"/>
              <w:left w:val="nil"/>
              <w:bottom w:val="single" w:sz="4" w:space="0" w:color="auto"/>
              <w:right w:val="nil"/>
            </w:tcBorders>
            <w:shd w:val="clear" w:color="auto" w:fill="FFFFFF" w:themeFill="background1"/>
            <w:vAlign w:val="center"/>
            <w:hideMark/>
          </w:tcPr>
          <w:p w14:paraId="245C8EB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Instalaciones técnicas y otro inmovilizado material</w:t>
            </w:r>
          </w:p>
        </w:tc>
        <w:tc>
          <w:tcPr>
            <w:tcW w:w="1355" w:type="dxa"/>
            <w:tcBorders>
              <w:top w:val="single" w:sz="4" w:space="0" w:color="auto"/>
              <w:left w:val="nil"/>
              <w:bottom w:val="single" w:sz="4" w:space="0" w:color="auto"/>
              <w:right w:val="nil"/>
            </w:tcBorders>
            <w:shd w:val="clear" w:color="auto" w:fill="FFFFFF" w:themeFill="background1"/>
            <w:vAlign w:val="center"/>
            <w:hideMark/>
          </w:tcPr>
          <w:p w14:paraId="0DDB4A7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Total</w:t>
            </w:r>
          </w:p>
        </w:tc>
      </w:tr>
      <w:tr w:rsidR="007F2C30" w:rsidRPr="00C8275B" w14:paraId="6116BF86"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52C3BA22"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A) SALDO INICIAL BRUTO, EJERCICIO 2020</w:t>
            </w:r>
          </w:p>
        </w:tc>
        <w:tc>
          <w:tcPr>
            <w:tcW w:w="1598" w:type="dxa"/>
            <w:tcBorders>
              <w:top w:val="nil"/>
              <w:left w:val="nil"/>
              <w:bottom w:val="single" w:sz="4" w:space="0" w:color="auto"/>
              <w:right w:val="nil"/>
            </w:tcBorders>
            <w:shd w:val="clear" w:color="auto" w:fill="auto"/>
            <w:noWrap/>
            <w:vAlign w:val="center"/>
            <w:hideMark/>
          </w:tcPr>
          <w:p w14:paraId="39C89E6B"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61" w:type="dxa"/>
            <w:tcBorders>
              <w:top w:val="nil"/>
              <w:left w:val="nil"/>
              <w:bottom w:val="single" w:sz="4" w:space="0" w:color="auto"/>
              <w:right w:val="nil"/>
            </w:tcBorders>
            <w:shd w:val="clear" w:color="auto" w:fill="auto"/>
            <w:noWrap/>
            <w:vAlign w:val="center"/>
            <w:hideMark/>
          </w:tcPr>
          <w:p w14:paraId="6072303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900.888,92</w:t>
            </w:r>
          </w:p>
        </w:tc>
        <w:tc>
          <w:tcPr>
            <w:tcW w:w="1355" w:type="dxa"/>
            <w:tcBorders>
              <w:top w:val="nil"/>
              <w:left w:val="nil"/>
              <w:bottom w:val="single" w:sz="4" w:space="0" w:color="auto"/>
              <w:right w:val="nil"/>
            </w:tcBorders>
            <w:shd w:val="clear" w:color="auto" w:fill="auto"/>
            <w:noWrap/>
            <w:vAlign w:val="center"/>
            <w:hideMark/>
          </w:tcPr>
          <w:p w14:paraId="17B04A1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17.503.821,20</w:t>
            </w:r>
          </w:p>
        </w:tc>
      </w:tr>
      <w:tr w:rsidR="007F2C30" w:rsidRPr="00C8275B" w14:paraId="27BA6C7C"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40BE64DA"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Adquisiciones mediante combinaciones de negocios</w:t>
            </w:r>
          </w:p>
        </w:tc>
        <w:tc>
          <w:tcPr>
            <w:tcW w:w="1598" w:type="dxa"/>
            <w:tcBorders>
              <w:top w:val="nil"/>
              <w:left w:val="nil"/>
              <w:bottom w:val="single" w:sz="4" w:space="0" w:color="auto"/>
              <w:right w:val="nil"/>
            </w:tcBorders>
            <w:shd w:val="clear" w:color="auto" w:fill="auto"/>
            <w:noWrap/>
            <w:vAlign w:val="center"/>
            <w:hideMark/>
          </w:tcPr>
          <w:p w14:paraId="632FCB9F"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0,00</w:t>
            </w:r>
          </w:p>
        </w:tc>
        <w:tc>
          <w:tcPr>
            <w:tcW w:w="1161" w:type="dxa"/>
            <w:tcBorders>
              <w:top w:val="nil"/>
              <w:left w:val="nil"/>
              <w:bottom w:val="single" w:sz="4" w:space="0" w:color="auto"/>
              <w:right w:val="nil"/>
            </w:tcBorders>
            <w:shd w:val="clear" w:color="auto" w:fill="auto"/>
            <w:noWrap/>
            <w:vAlign w:val="center"/>
            <w:hideMark/>
          </w:tcPr>
          <w:p w14:paraId="3BA3771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24.216,20</w:t>
            </w:r>
          </w:p>
        </w:tc>
        <w:tc>
          <w:tcPr>
            <w:tcW w:w="1355" w:type="dxa"/>
            <w:tcBorders>
              <w:top w:val="nil"/>
              <w:left w:val="nil"/>
              <w:bottom w:val="single" w:sz="4" w:space="0" w:color="auto"/>
              <w:right w:val="nil"/>
            </w:tcBorders>
            <w:shd w:val="clear" w:color="auto" w:fill="auto"/>
            <w:noWrap/>
            <w:vAlign w:val="center"/>
            <w:hideMark/>
          </w:tcPr>
          <w:p w14:paraId="091C8F84"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24.216,20</w:t>
            </w:r>
          </w:p>
        </w:tc>
      </w:tr>
      <w:tr w:rsidR="007F2C30" w:rsidRPr="00C8275B" w14:paraId="306E38C7"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35E086FF"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B) SALDO FINAL BRUTO, EJERCICIO 2020</w:t>
            </w:r>
          </w:p>
        </w:tc>
        <w:tc>
          <w:tcPr>
            <w:tcW w:w="1598" w:type="dxa"/>
            <w:tcBorders>
              <w:top w:val="nil"/>
              <w:left w:val="nil"/>
              <w:bottom w:val="single" w:sz="4" w:space="0" w:color="auto"/>
              <w:right w:val="nil"/>
            </w:tcBorders>
            <w:shd w:val="clear" w:color="auto" w:fill="auto"/>
            <w:noWrap/>
            <w:vAlign w:val="center"/>
            <w:hideMark/>
          </w:tcPr>
          <w:p w14:paraId="01A7B617"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61" w:type="dxa"/>
            <w:tcBorders>
              <w:top w:val="nil"/>
              <w:left w:val="nil"/>
              <w:bottom w:val="single" w:sz="4" w:space="0" w:color="auto"/>
              <w:right w:val="nil"/>
            </w:tcBorders>
            <w:shd w:val="clear" w:color="auto" w:fill="auto"/>
            <w:noWrap/>
            <w:vAlign w:val="center"/>
            <w:hideMark/>
          </w:tcPr>
          <w:p w14:paraId="1A012E7B"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925.105,12</w:t>
            </w:r>
          </w:p>
        </w:tc>
        <w:tc>
          <w:tcPr>
            <w:tcW w:w="1355" w:type="dxa"/>
            <w:tcBorders>
              <w:top w:val="nil"/>
              <w:left w:val="nil"/>
              <w:bottom w:val="single" w:sz="4" w:space="0" w:color="auto"/>
              <w:right w:val="nil"/>
            </w:tcBorders>
            <w:shd w:val="clear" w:color="auto" w:fill="auto"/>
            <w:noWrap/>
            <w:vAlign w:val="center"/>
            <w:hideMark/>
          </w:tcPr>
          <w:p w14:paraId="3A60D8E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17.528.037,40</w:t>
            </w:r>
          </w:p>
        </w:tc>
      </w:tr>
      <w:tr w:rsidR="007F2C30" w:rsidRPr="00C8275B" w14:paraId="3D06A853" w14:textId="77777777" w:rsidTr="004A0638">
        <w:trPr>
          <w:trHeight w:val="232"/>
        </w:trPr>
        <w:tc>
          <w:tcPr>
            <w:tcW w:w="5812" w:type="dxa"/>
            <w:tcBorders>
              <w:top w:val="nil"/>
              <w:left w:val="nil"/>
              <w:bottom w:val="single" w:sz="4" w:space="0" w:color="auto"/>
              <w:right w:val="nil"/>
            </w:tcBorders>
            <w:shd w:val="clear" w:color="000000" w:fill="FFFFFF"/>
            <w:vAlign w:val="center"/>
            <w:hideMark/>
          </w:tcPr>
          <w:p w14:paraId="0F84E916"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C) SALDO INICIAL BRUTO, EJERCICIO 2021</w:t>
            </w:r>
          </w:p>
        </w:tc>
        <w:tc>
          <w:tcPr>
            <w:tcW w:w="1598" w:type="dxa"/>
            <w:tcBorders>
              <w:top w:val="nil"/>
              <w:left w:val="nil"/>
              <w:bottom w:val="single" w:sz="4" w:space="0" w:color="auto"/>
              <w:right w:val="nil"/>
            </w:tcBorders>
            <w:shd w:val="clear" w:color="000000" w:fill="FFFFFF"/>
            <w:noWrap/>
            <w:vAlign w:val="center"/>
            <w:hideMark/>
          </w:tcPr>
          <w:p w14:paraId="78EEACB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61" w:type="dxa"/>
            <w:tcBorders>
              <w:top w:val="nil"/>
              <w:left w:val="nil"/>
              <w:bottom w:val="single" w:sz="4" w:space="0" w:color="auto"/>
              <w:right w:val="nil"/>
            </w:tcBorders>
            <w:shd w:val="clear" w:color="000000" w:fill="FFFFFF"/>
            <w:noWrap/>
            <w:vAlign w:val="center"/>
            <w:hideMark/>
          </w:tcPr>
          <w:p w14:paraId="7764930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925.105,12</w:t>
            </w:r>
          </w:p>
        </w:tc>
        <w:tc>
          <w:tcPr>
            <w:tcW w:w="1355" w:type="dxa"/>
            <w:tcBorders>
              <w:top w:val="nil"/>
              <w:left w:val="nil"/>
              <w:bottom w:val="single" w:sz="4" w:space="0" w:color="auto"/>
              <w:right w:val="nil"/>
            </w:tcBorders>
            <w:shd w:val="clear" w:color="000000" w:fill="FFFFFF"/>
            <w:noWrap/>
            <w:vAlign w:val="center"/>
            <w:hideMark/>
          </w:tcPr>
          <w:p w14:paraId="6869C710"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17.528.037,40</w:t>
            </w:r>
          </w:p>
        </w:tc>
      </w:tr>
      <w:tr w:rsidR="007F2C30" w:rsidRPr="00C8275B" w14:paraId="4CEE748F"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43744720"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Adquisiciones mediante combinaciones de negocios</w:t>
            </w:r>
          </w:p>
        </w:tc>
        <w:tc>
          <w:tcPr>
            <w:tcW w:w="1598" w:type="dxa"/>
            <w:tcBorders>
              <w:top w:val="nil"/>
              <w:left w:val="nil"/>
              <w:bottom w:val="single" w:sz="4" w:space="0" w:color="auto"/>
              <w:right w:val="nil"/>
            </w:tcBorders>
            <w:shd w:val="clear" w:color="auto" w:fill="auto"/>
            <w:noWrap/>
            <w:vAlign w:val="center"/>
            <w:hideMark/>
          </w:tcPr>
          <w:p w14:paraId="5ED981B2"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0,00</w:t>
            </w:r>
          </w:p>
        </w:tc>
        <w:tc>
          <w:tcPr>
            <w:tcW w:w="1161" w:type="dxa"/>
            <w:tcBorders>
              <w:top w:val="nil"/>
              <w:left w:val="nil"/>
              <w:bottom w:val="single" w:sz="4" w:space="0" w:color="auto"/>
              <w:right w:val="nil"/>
            </w:tcBorders>
            <w:shd w:val="clear" w:color="auto" w:fill="auto"/>
            <w:noWrap/>
            <w:vAlign w:val="center"/>
            <w:hideMark/>
          </w:tcPr>
          <w:p w14:paraId="59517928"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14.988,00</w:t>
            </w:r>
          </w:p>
        </w:tc>
        <w:tc>
          <w:tcPr>
            <w:tcW w:w="1355" w:type="dxa"/>
            <w:tcBorders>
              <w:top w:val="nil"/>
              <w:left w:val="nil"/>
              <w:bottom w:val="single" w:sz="4" w:space="0" w:color="auto"/>
              <w:right w:val="nil"/>
            </w:tcBorders>
            <w:shd w:val="clear" w:color="auto" w:fill="auto"/>
            <w:noWrap/>
            <w:vAlign w:val="center"/>
            <w:hideMark/>
          </w:tcPr>
          <w:p w14:paraId="25A1D82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14.988,00</w:t>
            </w:r>
          </w:p>
        </w:tc>
      </w:tr>
      <w:tr w:rsidR="007F2C30" w:rsidRPr="00C8275B" w14:paraId="71845CE9"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72FA7FB7"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D) SALDO FINAL BRUTO, EJERCICIO 2021</w:t>
            </w:r>
          </w:p>
        </w:tc>
        <w:tc>
          <w:tcPr>
            <w:tcW w:w="1598" w:type="dxa"/>
            <w:tcBorders>
              <w:top w:val="nil"/>
              <w:left w:val="nil"/>
              <w:bottom w:val="single" w:sz="4" w:space="0" w:color="auto"/>
              <w:right w:val="nil"/>
            </w:tcBorders>
            <w:shd w:val="clear" w:color="auto" w:fill="auto"/>
            <w:noWrap/>
            <w:vAlign w:val="center"/>
            <w:hideMark/>
          </w:tcPr>
          <w:p w14:paraId="0F0293A8"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16.602.932,28</w:t>
            </w:r>
          </w:p>
        </w:tc>
        <w:tc>
          <w:tcPr>
            <w:tcW w:w="1161" w:type="dxa"/>
            <w:tcBorders>
              <w:top w:val="nil"/>
              <w:left w:val="nil"/>
              <w:bottom w:val="single" w:sz="4" w:space="0" w:color="auto"/>
              <w:right w:val="nil"/>
            </w:tcBorders>
            <w:shd w:val="clear" w:color="auto" w:fill="auto"/>
            <w:noWrap/>
            <w:vAlign w:val="center"/>
            <w:hideMark/>
          </w:tcPr>
          <w:p w14:paraId="70E7576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940.093,12</w:t>
            </w:r>
          </w:p>
        </w:tc>
        <w:tc>
          <w:tcPr>
            <w:tcW w:w="1355" w:type="dxa"/>
            <w:tcBorders>
              <w:top w:val="nil"/>
              <w:left w:val="nil"/>
              <w:bottom w:val="single" w:sz="4" w:space="0" w:color="auto"/>
              <w:right w:val="nil"/>
            </w:tcBorders>
            <w:shd w:val="clear" w:color="auto" w:fill="auto"/>
            <w:noWrap/>
            <w:vAlign w:val="center"/>
            <w:hideMark/>
          </w:tcPr>
          <w:p w14:paraId="76107C7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17.543.025,40</w:t>
            </w:r>
          </w:p>
        </w:tc>
      </w:tr>
      <w:tr w:rsidR="007F2C30" w:rsidRPr="00C8275B" w14:paraId="40F5740B"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7DED5BF0"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E) AMORTIZACIÓN ACUMULADA, SALDO INICIAL EJERCICIO 2020</w:t>
            </w:r>
          </w:p>
        </w:tc>
        <w:tc>
          <w:tcPr>
            <w:tcW w:w="1598" w:type="dxa"/>
            <w:tcBorders>
              <w:top w:val="nil"/>
              <w:left w:val="nil"/>
              <w:bottom w:val="single" w:sz="4" w:space="0" w:color="auto"/>
              <w:right w:val="nil"/>
            </w:tcBorders>
            <w:shd w:val="clear" w:color="auto" w:fill="auto"/>
            <w:noWrap/>
            <w:vAlign w:val="center"/>
            <w:hideMark/>
          </w:tcPr>
          <w:p w14:paraId="15ED0BCA"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875.607,64</w:t>
            </w:r>
          </w:p>
        </w:tc>
        <w:tc>
          <w:tcPr>
            <w:tcW w:w="1161" w:type="dxa"/>
            <w:tcBorders>
              <w:top w:val="nil"/>
              <w:left w:val="nil"/>
              <w:bottom w:val="single" w:sz="4" w:space="0" w:color="auto"/>
              <w:right w:val="nil"/>
            </w:tcBorders>
            <w:shd w:val="clear" w:color="auto" w:fill="auto"/>
            <w:noWrap/>
            <w:vAlign w:val="center"/>
            <w:hideMark/>
          </w:tcPr>
          <w:p w14:paraId="41E9F2C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769.319,52</w:t>
            </w:r>
          </w:p>
        </w:tc>
        <w:tc>
          <w:tcPr>
            <w:tcW w:w="1355" w:type="dxa"/>
            <w:tcBorders>
              <w:top w:val="nil"/>
              <w:left w:val="nil"/>
              <w:bottom w:val="single" w:sz="4" w:space="0" w:color="auto"/>
              <w:right w:val="nil"/>
            </w:tcBorders>
            <w:shd w:val="clear" w:color="auto" w:fill="auto"/>
            <w:noWrap/>
            <w:vAlign w:val="center"/>
            <w:hideMark/>
          </w:tcPr>
          <w:p w14:paraId="47130D6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1.644.927,16</w:t>
            </w:r>
          </w:p>
        </w:tc>
      </w:tr>
      <w:tr w:rsidR="007F2C30" w:rsidRPr="00C8275B" w14:paraId="2F7477AF"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2371A51C"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Dotación a la amortización del ejercicio 2020</w:t>
            </w:r>
          </w:p>
        </w:tc>
        <w:tc>
          <w:tcPr>
            <w:tcW w:w="1598" w:type="dxa"/>
            <w:tcBorders>
              <w:top w:val="nil"/>
              <w:left w:val="nil"/>
              <w:bottom w:val="single" w:sz="4" w:space="0" w:color="auto"/>
              <w:right w:val="nil"/>
            </w:tcBorders>
            <w:shd w:val="clear" w:color="auto" w:fill="auto"/>
            <w:noWrap/>
            <w:vAlign w:val="center"/>
            <w:hideMark/>
          </w:tcPr>
          <w:p w14:paraId="59D7F83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115.215,76</w:t>
            </w:r>
          </w:p>
        </w:tc>
        <w:tc>
          <w:tcPr>
            <w:tcW w:w="1161" w:type="dxa"/>
            <w:tcBorders>
              <w:top w:val="nil"/>
              <w:left w:val="nil"/>
              <w:bottom w:val="single" w:sz="4" w:space="0" w:color="auto"/>
              <w:right w:val="nil"/>
            </w:tcBorders>
            <w:shd w:val="clear" w:color="auto" w:fill="auto"/>
            <w:noWrap/>
            <w:vAlign w:val="center"/>
            <w:hideMark/>
          </w:tcPr>
          <w:p w14:paraId="4D5A360A"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31.280,50</w:t>
            </w:r>
          </w:p>
        </w:tc>
        <w:tc>
          <w:tcPr>
            <w:tcW w:w="1355" w:type="dxa"/>
            <w:tcBorders>
              <w:top w:val="nil"/>
              <w:left w:val="nil"/>
              <w:bottom w:val="single" w:sz="4" w:space="0" w:color="auto"/>
              <w:right w:val="nil"/>
            </w:tcBorders>
            <w:shd w:val="clear" w:color="auto" w:fill="auto"/>
            <w:noWrap/>
            <w:vAlign w:val="center"/>
            <w:hideMark/>
          </w:tcPr>
          <w:p w14:paraId="18D7F23B"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146.496,26</w:t>
            </w:r>
          </w:p>
        </w:tc>
      </w:tr>
      <w:tr w:rsidR="007F2C30" w:rsidRPr="00C8275B" w14:paraId="682CF840"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22203B89"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F) AMORTIZACION ACUMULADA, SALDO FINAL EJERCICIO 2020</w:t>
            </w:r>
          </w:p>
        </w:tc>
        <w:tc>
          <w:tcPr>
            <w:tcW w:w="1598" w:type="dxa"/>
            <w:tcBorders>
              <w:top w:val="nil"/>
              <w:left w:val="nil"/>
              <w:bottom w:val="single" w:sz="4" w:space="0" w:color="auto"/>
              <w:right w:val="nil"/>
            </w:tcBorders>
            <w:shd w:val="clear" w:color="auto" w:fill="auto"/>
            <w:noWrap/>
            <w:vAlign w:val="center"/>
            <w:hideMark/>
          </w:tcPr>
          <w:p w14:paraId="4998AAC5"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990.823,40</w:t>
            </w:r>
          </w:p>
        </w:tc>
        <w:tc>
          <w:tcPr>
            <w:tcW w:w="1161" w:type="dxa"/>
            <w:tcBorders>
              <w:top w:val="nil"/>
              <w:left w:val="nil"/>
              <w:bottom w:val="single" w:sz="4" w:space="0" w:color="auto"/>
              <w:right w:val="nil"/>
            </w:tcBorders>
            <w:shd w:val="clear" w:color="auto" w:fill="auto"/>
            <w:noWrap/>
            <w:vAlign w:val="center"/>
            <w:hideMark/>
          </w:tcPr>
          <w:p w14:paraId="00DC23A8"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800.600,02</w:t>
            </w:r>
          </w:p>
        </w:tc>
        <w:tc>
          <w:tcPr>
            <w:tcW w:w="1355" w:type="dxa"/>
            <w:tcBorders>
              <w:top w:val="nil"/>
              <w:left w:val="nil"/>
              <w:bottom w:val="single" w:sz="4" w:space="0" w:color="auto"/>
              <w:right w:val="nil"/>
            </w:tcBorders>
            <w:shd w:val="clear" w:color="auto" w:fill="auto"/>
            <w:noWrap/>
            <w:vAlign w:val="center"/>
            <w:hideMark/>
          </w:tcPr>
          <w:p w14:paraId="1850A09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1.791.423,42</w:t>
            </w:r>
          </w:p>
        </w:tc>
      </w:tr>
      <w:tr w:rsidR="007F2C30" w:rsidRPr="00C8275B" w14:paraId="39EF41AC"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203C9438"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G) AMORTIZACIÓN ACUMULADA, SALDO INICIAL EJERCICIO 2021</w:t>
            </w:r>
          </w:p>
        </w:tc>
        <w:tc>
          <w:tcPr>
            <w:tcW w:w="1598" w:type="dxa"/>
            <w:tcBorders>
              <w:top w:val="nil"/>
              <w:left w:val="nil"/>
              <w:bottom w:val="single" w:sz="4" w:space="0" w:color="auto"/>
              <w:right w:val="nil"/>
            </w:tcBorders>
            <w:shd w:val="clear" w:color="auto" w:fill="auto"/>
            <w:noWrap/>
            <w:vAlign w:val="center"/>
            <w:hideMark/>
          </w:tcPr>
          <w:p w14:paraId="4F0EE5C9"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990.823,40</w:t>
            </w:r>
          </w:p>
        </w:tc>
        <w:tc>
          <w:tcPr>
            <w:tcW w:w="1161" w:type="dxa"/>
            <w:tcBorders>
              <w:top w:val="nil"/>
              <w:left w:val="nil"/>
              <w:bottom w:val="single" w:sz="4" w:space="0" w:color="auto"/>
              <w:right w:val="nil"/>
            </w:tcBorders>
            <w:shd w:val="clear" w:color="auto" w:fill="auto"/>
            <w:noWrap/>
            <w:vAlign w:val="center"/>
            <w:hideMark/>
          </w:tcPr>
          <w:p w14:paraId="099227C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800.600,02</w:t>
            </w:r>
          </w:p>
        </w:tc>
        <w:tc>
          <w:tcPr>
            <w:tcW w:w="1355" w:type="dxa"/>
            <w:tcBorders>
              <w:top w:val="nil"/>
              <w:left w:val="nil"/>
              <w:bottom w:val="single" w:sz="4" w:space="0" w:color="auto"/>
              <w:right w:val="nil"/>
            </w:tcBorders>
            <w:shd w:val="clear" w:color="auto" w:fill="auto"/>
            <w:noWrap/>
            <w:vAlign w:val="center"/>
            <w:hideMark/>
          </w:tcPr>
          <w:p w14:paraId="470C3237"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1.791.423,42</w:t>
            </w:r>
          </w:p>
        </w:tc>
      </w:tr>
      <w:tr w:rsidR="007F2C30" w:rsidRPr="00C8275B" w14:paraId="322196AF"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2AB72739" w14:textId="77777777" w:rsidR="007F2C30" w:rsidRPr="00C8275B" w:rsidRDefault="007F2C30" w:rsidP="007F2C30">
            <w:pPr>
              <w:widowControl/>
              <w:autoSpaceDE/>
              <w:autoSpaceDN/>
              <w:adjustRightInd/>
              <w:rPr>
                <w:rFonts w:ascii="Times New Roman" w:hAnsi="Times New Roman" w:cs="Times New Roman"/>
                <w:sz w:val="17"/>
                <w:szCs w:val="17"/>
              </w:rPr>
            </w:pPr>
            <w:r w:rsidRPr="00C8275B">
              <w:rPr>
                <w:rFonts w:ascii="Times New Roman" w:hAnsi="Times New Roman" w:cs="Times New Roman"/>
                <w:sz w:val="17"/>
                <w:szCs w:val="17"/>
              </w:rPr>
              <w:t>(+) Dotación a la amortización del ejercicio 2021</w:t>
            </w:r>
          </w:p>
        </w:tc>
        <w:tc>
          <w:tcPr>
            <w:tcW w:w="1598" w:type="dxa"/>
            <w:tcBorders>
              <w:top w:val="nil"/>
              <w:left w:val="nil"/>
              <w:bottom w:val="single" w:sz="4" w:space="0" w:color="auto"/>
              <w:right w:val="nil"/>
            </w:tcBorders>
            <w:shd w:val="clear" w:color="auto" w:fill="auto"/>
            <w:noWrap/>
            <w:vAlign w:val="center"/>
            <w:hideMark/>
          </w:tcPr>
          <w:p w14:paraId="4F6870FA"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115.189,03</w:t>
            </w:r>
          </w:p>
        </w:tc>
        <w:tc>
          <w:tcPr>
            <w:tcW w:w="1161" w:type="dxa"/>
            <w:tcBorders>
              <w:top w:val="nil"/>
              <w:left w:val="nil"/>
              <w:bottom w:val="single" w:sz="4" w:space="0" w:color="auto"/>
              <w:right w:val="nil"/>
            </w:tcBorders>
            <w:shd w:val="clear" w:color="auto" w:fill="auto"/>
            <w:noWrap/>
            <w:vAlign w:val="center"/>
            <w:hideMark/>
          </w:tcPr>
          <w:p w14:paraId="74C2F44B"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31.147,74</w:t>
            </w:r>
          </w:p>
        </w:tc>
        <w:tc>
          <w:tcPr>
            <w:tcW w:w="1355" w:type="dxa"/>
            <w:tcBorders>
              <w:top w:val="nil"/>
              <w:left w:val="nil"/>
              <w:bottom w:val="single" w:sz="4" w:space="0" w:color="auto"/>
              <w:right w:val="nil"/>
            </w:tcBorders>
            <w:shd w:val="clear" w:color="auto" w:fill="auto"/>
            <w:noWrap/>
            <w:vAlign w:val="center"/>
            <w:hideMark/>
          </w:tcPr>
          <w:p w14:paraId="7622DA67" w14:textId="77777777" w:rsidR="007F2C30" w:rsidRPr="00C8275B" w:rsidRDefault="007F2C30" w:rsidP="007F2C30">
            <w:pPr>
              <w:widowControl/>
              <w:autoSpaceDE/>
              <w:autoSpaceDN/>
              <w:adjustRightInd/>
              <w:jc w:val="center"/>
              <w:rPr>
                <w:rFonts w:ascii="Times New Roman" w:hAnsi="Times New Roman" w:cs="Times New Roman"/>
                <w:sz w:val="17"/>
                <w:szCs w:val="17"/>
              </w:rPr>
            </w:pPr>
            <w:r w:rsidRPr="00C8275B">
              <w:rPr>
                <w:rFonts w:ascii="Times New Roman" w:hAnsi="Times New Roman" w:cs="Times New Roman"/>
                <w:sz w:val="17"/>
                <w:szCs w:val="17"/>
              </w:rPr>
              <w:t>146.336,77</w:t>
            </w:r>
          </w:p>
        </w:tc>
      </w:tr>
      <w:tr w:rsidR="007F2C30" w:rsidRPr="00C8275B" w14:paraId="6E90083B"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4D9E7564"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H) AMORTIZACIÓN ACUMULADA, SALDO FINAL EJERCICIO 2021</w:t>
            </w:r>
          </w:p>
        </w:tc>
        <w:tc>
          <w:tcPr>
            <w:tcW w:w="1598" w:type="dxa"/>
            <w:tcBorders>
              <w:top w:val="nil"/>
              <w:left w:val="nil"/>
              <w:bottom w:val="single" w:sz="4" w:space="0" w:color="auto"/>
              <w:right w:val="nil"/>
            </w:tcBorders>
            <w:shd w:val="clear" w:color="auto" w:fill="auto"/>
            <w:noWrap/>
            <w:vAlign w:val="center"/>
            <w:hideMark/>
          </w:tcPr>
          <w:p w14:paraId="530A518C"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1.106.012,43</w:t>
            </w:r>
          </w:p>
        </w:tc>
        <w:tc>
          <w:tcPr>
            <w:tcW w:w="1161" w:type="dxa"/>
            <w:tcBorders>
              <w:top w:val="nil"/>
              <w:left w:val="nil"/>
              <w:bottom w:val="single" w:sz="4" w:space="0" w:color="auto"/>
              <w:right w:val="nil"/>
            </w:tcBorders>
            <w:shd w:val="clear" w:color="auto" w:fill="auto"/>
            <w:noWrap/>
            <w:vAlign w:val="center"/>
            <w:hideMark/>
          </w:tcPr>
          <w:p w14:paraId="4DE747FE"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831.747,76</w:t>
            </w:r>
          </w:p>
        </w:tc>
        <w:tc>
          <w:tcPr>
            <w:tcW w:w="1355" w:type="dxa"/>
            <w:tcBorders>
              <w:top w:val="nil"/>
              <w:left w:val="nil"/>
              <w:bottom w:val="single" w:sz="4" w:space="0" w:color="auto"/>
              <w:right w:val="nil"/>
            </w:tcBorders>
            <w:shd w:val="clear" w:color="auto" w:fill="auto"/>
            <w:noWrap/>
            <w:vAlign w:val="center"/>
            <w:hideMark/>
          </w:tcPr>
          <w:p w14:paraId="3CC1B6D6"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1.937.760,19</w:t>
            </w:r>
          </w:p>
        </w:tc>
      </w:tr>
      <w:tr w:rsidR="007F2C30" w:rsidRPr="00C8275B" w14:paraId="40D38BA1" w14:textId="77777777" w:rsidTr="004A0638">
        <w:trPr>
          <w:trHeight w:val="232"/>
        </w:trPr>
        <w:tc>
          <w:tcPr>
            <w:tcW w:w="5812" w:type="dxa"/>
            <w:tcBorders>
              <w:top w:val="nil"/>
              <w:left w:val="nil"/>
              <w:bottom w:val="single" w:sz="4" w:space="0" w:color="auto"/>
              <w:right w:val="nil"/>
            </w:tcBorders>
            <w:shd w:val="clear" w:color="auto" w:fill="auto"/>
            <w:vAlign w:val="center"/>
            <w:hideMark/>
          </w:tcPr>
          <w:p w14:paraId="2698AD21" w14:textId="77777777" w:rsidR="007F2C30" w:rsidRPr="00C8275B" w:rsidRDefault="007F2C30" w:rsidP="007F2C30">
            <w:pPr>
              <w:widowControl/>
              <w:autoSpaceDE/>
              <w:autoSpaceDN/>
              <w:adjustRightInd/>
              <w:rPr>
                <w:rFonts w:ascii="Times New Roman" w:hAnsi="Times New Roman" w:cs="Times New Roman"/>
                <w:b/>
                <w:bCs/>
                <w:sz w:val="17"/>
                <w:szCs w:val="17"/>
              </w:rPr>
            </w:pPr>
            <w:r w:rsidRPr="00C8275B">
              <w:rPr>
                <w:rFonts w:ascii="Times New Roman" w:hAnsi="Times New Roman" w:cs="Times New Roman"/>
                <w:b/>
                <w:bCs/>
                <w:sz w:val="17"/>
                <w:szCs w:val="17"/>
              </w:rPr>
              <w:t>M) VALOR NETO CONTABLE FINAL EJERCICIO 2021</w:t>
            </w:r>
          </w:p>
        </w:tc>
        <w:tc>
          <w:tcPr>
            <w:tcW w:w="1598" w:type="dxa"/>
            <w:tcBorders>
              <w:top w:val="nil"/>
              <w:left w:val="nil"/>
              <w:bottom w:val="single" w:sz="4" w:space="0" w:color="auto"/>
              <w:right w:val="nil"/>
            </w:tcBorders>
            <w:shd w:val="clear" w:color="auto" w:fill="auto"/>
            <w:noWrap/>
            <w:vAlign w:val="center"/>
            <w:hideMark/>
          </w:tcPr>
          <w:p w14:paraId="4A36A1D4"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15.496.919,85</w:t>
            </w:r>
          </w:p>
        </w:tc>
        <w:tc>
          <w:tcPr>
            <w:tcW w:w="1161" w:type="dxa"/>
            <w:tcBorders>
              <w:top w:val="nil"/>
              <w:left w:val="nil"/>
              <w:bottom w:val="single" w:sz="4" w:space="0" w:color="auto"/>
              <w:right w:val="nil"/>
            </w:tcBorders>
            <w:shd w:val="clear" w:color="auto" w:fill="auto"/>
            <w:noWrap/>
            <w:vAlign w:val="center"/>
            <w:hideMark/>
          </w:tcPr>
          <w:p w14:paraId="2CEB2FDD"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108.345,36</w:t>
            </w:r>
          </w:p>
        </w:tc>
        <w:tc>
          <w:tcPr>
            <w:tcW w:w="1355" w:type="dxa"/>
            <w:tcBorders>
              <w:top w:val="nil"/>
              <w:left w:val="nil"/>
              <w:bottom w:val="single" w:sz="4" w:space="0" w:color="auto"/>
              <w:right w:val="nil"/>
            </w:tcBorders>
            <w:shd w:val="clear" w:color="auto" w:fill="auto"/>
            <w:noWrap/>
            <w:vAlign w:val="center"/>
            <w:hideMark/>
          </w:tcPr>
          <w:p w14:paraId="5597EFB3" w14:textId="77777777" w:rsidR="007F2C30" w:rsidRPr="00C8275B" w:rsidRDefault="007F2C30" w:rsidP="007F2C30">
            <w:pPr>
              <w:widowControl/>
              <w:autoSpaceDE/>
              <w:autoSpaceDN/>
              <w:adjustRightInd/>
              <w:jc w:val="center"/>
              <w:rPr>
                <w:rFonts w:ascii="Times New Roman" w:hAnsi="Times New Roman" w:cs="Times New Roman"/>
                <w:b/>
                <w:bCs/>
                <w:sz w:val="17"/>
                <w:szCs w:val="17"/>
              </w:rPr>
            </w:pPr>
            <w:r w:rsidRPr="00C8275B">
              <w:rPr>
                <w:rFonts w:ascii="Times New Roman" w:hAnsi="Times New Roman" w:cs="Times New Roman"/>
                <w:b/>
                <w:bCs/>
                <w:sz w:val="17"/>
                <w:szCs w:val="17"/>
              </w:rPr>
              <w:t>15.605.265,21</w:t>
            </w:r>
          </w:p>
        </w:tc>
      </w:tr>
    </w:tbl>
    <w:p w14:paraId="3C3756E5" w14:textId="320D74A5" w:rsidR="007F2C30" w:rsidRPr="00C8275B" w:rsidRDefault="007F2C30" w:rsidP="003F3BCE">
      <w:pPr>
        <w:pStyle w:val="Default"/>
        <w:ind w:right="-284" w:firstLine="709"/>
        <w:rPr>
          <w:rFonts w:ascii="Times New Roman" w:hAnsi="Times New Roman" w:cs="Times New Roman"/>
          <w:b/>
          <w:spacing w:val="-1"/>
          <w:sz w:val="22"/>
          <w:szCs w:val="22"/>
          <w:u w:val="single"/>
          <w:lang w:val="es-ES_tradnl" w:eastAsia="es-ES_tradnl"/>
        </w:rPr>
      </w:pPr>
    </w:p>
    <w:p w14:paraId="4940B588" w14:textId="52810935" w:rsidR="007F2C30" w:rsidRPr="00C8275B" w:rsidRDefault="007F2C30" w:rsidP="003F3BCE">
      <w:pPr>
        <w:pStyle w:val="Default"/>
        <w:ind w:right="-284" w:firstLine="709"/>
        <w:rPr>
          <w:rFonts w:ascii="Times New Roman" w:hAnsi="Times New Roman" w:cs="Times New Roman"/>
          <w:b/>
          <w:spacing w:val="-1"/>
          <w:sz w:val="22"/>
          <w:szCs w:val="22"/>
          <w:u w:val="single"/>
          <w:lang w:val="es-ES_tradnl" w:eastAsia="es-ES_tradnl"/>
        </w:rPr>
      </w:pPr>
    </w:p>
    <w:p w14:paraId="2C84BA12" w14:textId="77777777" w:rsidR="001F4723" w:rsidRPr="00C8275B" w:rsidRDefault="001F4723" w:rsidP="00A132A5">
      <w:pPr>
        <w:shd w:val="clear" w:color="auto" w:fill="FFFFFF"/>
        <w:ind w:left="709"/>
        <w:jc w:val="both"/>
        <w:rPr>
          <w:rFonts w:ascii="Times New Roman" w:hAnsi="Times New Roman" w:cs="Times New Roman"/>
          <w:b/>
          <w:color w:val="0000FF"/>
          <w:sz w:val="22"/>
          <w:szCs w:val="22"/>
          <w:u w:val="single"/>
          <w:lang w:val="es-ES_tradnl" w:eastAsia="es-ES_tradnl"/>
        </w:rPr>
      </w:pPr>
    </w:p>
    <w:p w14:paraId="7AE31336" w14:textId="77777777" w:rsidR="00A132A5" w:rsidRPr="00C8275B" w:rsidRDefault="00A132A5" w:rsidP="00A132A5">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totalmente amortizados</w:t>
      </w:r>
    </w:p>
    <w:p w14:paraId="7464F42D" w14:textId="77777777" w:rsidR="000576A2" w:rsidRPr="00C8275B" w:rsidRDefault="000576A2" w:rsidP="000576A2">
      <w:pPr>
        <w:pStyle w:val="Textoindependiente"/>
        <w:spacing w:before="166" w:line="276" w:lineRule="auto"/>
        <w:ind w:right="108" w:firstLine="709"/>
        <w:rPr>
          <w:rFonts w:ascii="Times New Roman" w:hAnsi="Times New Roman"/>
          <w:spacing w:val="-2"/>
          <w:sz w:val="22"/>
          <w:szCs w:val="22"/>
          <w:lang w:val="es-ES_tradnl" w:eastAsia="es-ES_tradnl"/>
        </w:rPr>
      </w:pPr>
      <w:r w:rsidRPr="00C8275B">
        <w:rPr>
          <w:rFonts w:ascii="Times New Roman" w:hAnsi="Times New Roman"/>
          <w:spacing w:val="-2"/>
          <w:sz w:val="22"/>
          <w:szCs w:val="22"/>
          <w:lang w:val="es-ES_tradnl" w:eastAsia="es-ES_tradnl"/>
        </w:rPr>
        <w:t xml:space="preserve">El inmovilizado material totalmente amortizado, al cierre del ejercicio, presenta el siguiente desglose: </w:t>
      </w:r>
    </w:p>
    <w:p w14:paraId="3B1D0C9A" w14:textId="64793600" w:rsidR="00777127" w:rsidRDefault="00777127" w:rsidP="000576A2">
      <w:pPr>
        <w:shd w:val="clear" w:color="auto" w:fill="FFFFFF"/>
        <w:ind w:left="709"/>
        <w:jc w:val="both"/>
        <w:rPr>
          <w:rFonts w:ascii="Times New Roman" w:hAnsi="Times New Roman" w:cs="Times New Roman"/>
          <w:b/>
          <w:color w:val="0000FF"/>
          <w:sz w:val="22"/>
          <w:szCs w:val="22"/>
          <w:lang w:val="es-ES_tradnl" w:eastAsia="es-ES_tradnl"/>
        </w:rPr>
      </w:pPr>
    </w:p>
    <w:tbl>
      <w:tblPr>
        <w:tblW w:w="5340" w:type="dxa"/>
        <w:jc w:val="center"/>
        <w:tblCellMar>
          <w:left w:w="70" w:type="dxa"/>
          <w:right w:w="70" w:type="dxa"/>
        </w:tblCellMar>
        <w:tblLook w:val="04A0" w:firstRow="1" w:lastRow="0" w:firstColumn="1" w:lastColumn="0" w:noHBand="0" w:noVBand="1"/>
      </w:tblPr>
      <w:tblGrid>
        <w:gridCol w:w="2636"/>
        <w:gridCol w:w="1352"/>
        <w:gridCol w:w="1352"/>
      </w:tblGrid>
      <w:tr w:rsidR="00777127" w:rsidRPr="00777127" w14:paraId="13896177" w14:textId="77777777" w:rsidTr="00414010">
        <w:trPr>
          <w:trHeight w:val="510"/>
          <w:jc w:val="center"/>
        </w:trPr>
        <w:tc>
          <w:tcPr>
            <w:tcW w:w="2636" w:type="dxa"/>
            <w:tcBorders>
              <w:top w:val="single" w:sz="4" w:space="0" w:color="auto"/>
              <w:left w:val="nil"/>
              <w:bottom w:val="single" w:sz="4" w:space="0" w:color="auto"/>
              <w:right w:val="nil"/>
            </w:tcBorders>
            <w:shd w:val="clear" w:color="auto" w:fill="FFFFFF" w:themeFill="background1"/>
            <w:noWrap/>
            <w:vAlign w:val="center"/>
            <w:hideMark/>
          </w:tcPr>
          <w:p w14:paraId="4B855E03" w14:textId="77777777" w:rsidR="00777127" w:rsidRPr="00777127" w:rsidRDefault="00777127" w:rsidP="00777127">
            <w:pPr>
              <w:widowControl/>
              <w:autoSpaceDE/>
              <w:autoSpaceDN/>
              <w:adjustRightInd/>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 </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567479F9" w14:textId="28F2DE21" w:rsidR="00777127" w:rsidRPr="00777127" w:rsidRDefault="00777127" w:rsidP="00777127">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2022</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4D7819FA" w14:textId="77777777" w:rsidR="00777127" w:rsidRPr="00777127" w:rsidRDefault="00777127" w:rsidP="00777127">
            <w:pPr>
              <w:widowControl/>
              <w:autoSpaceDE/>
              <w:autoSpaceDN/>
              <w:adjustRightInd/>
              <w:jc w:val="center"/>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2021</w:t>
            </w:r>
          </w:p>
        </w:tc>
      </w:tr>
      <w:tr w:rsidR="00777127" w:rsidRPr="00777127" w14:paraId="49D83002"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186CDD50"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Maquinaria</w:t>
            </w:r>
          </w:p>
        </w:tc>
        <w:tc>
          <w:tcPr>
            <w:tcW w:w="1352" w:type="dxa"/>
            <w:tcBorders>
              <w:top w:val="nil"/>
              <w:left w:val="nil"/>
              <w:bottom w:val="nil"/>
              <w:right w:val="nil"/>
            </w:tcBorders>
            <w:shd w:val="clear" w:color="auto" w:fill="FFFFFF" w:themeFill="background1"/>
            <w:vAlign w:val="center"/>
            <w:hideMark/>
          </w:tcPr>
          <w:p w14:paraId="2372F9B1"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39.235,47</w:t>
            </w:r>
          </w:p>
        </w:tc>
        <w:tc>
          <w:tcPr>
            <w:tcW w:w="1352" w:type="dxa"/>
            <w:tcBorders>
              <w:top w:val="nil"/>
              <w:left w:val="nil"/>
              <w:bottom w:val="nil"/>
              <w:right w:val="nil"/>
            </w:tcBorders>
            <w:shd w:val="clear" w:color="auto" w:fill="FFFFFF" w:themeFill="background1"/>
            <w:vAlign w:val="center"/>
            <w:hideMark/>
          </w:tcPr>
          <w:p w14:paraId="0CE1B48D"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16.235,47</w:t>
            </w:r>
          </w:p>
        </w:tc>
      </w:tr>
      <w:tr w:rsidR="00777127" w:rsidRPr="00777127" w14:paraId="1FA90709"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05B68BB4"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Otras instalaciones</w:t>
            </w:r>
          </w:p>
        </w:tc>
        <w:tc>
          <w:tcPr>
            <w:tcW w:w="1352" w:type="dxa"/>
            <w:tcBorders>
              <w:top w:val="nil"/>
              <w:left w:val="nil"/>
              <w:bottom w:val="nil"/>
              <w:right w:val="nil"/>
            </w:tcBorders>
            <w:shd w:val="clear" w:color="auto" w:fill="FFFFFF" w:themeFill="background1"/>
            <w:vAlign w:val="center"/>
            <w:hideMark/>
          </w:tcPr>
          <w:p w14:paraId="471A3D1A"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13.032,87</w:t>
            </w:r>
          </w:p>
        </w:tc>
        <w:tc>
          <w:tcPr>
            <w:tcW w:w="1352" w:type="dxa"/>
            <w:tcBorders>
              <w:top w:val="nil"/>
              <w:left w:val="nil"/>
              <w:bottom w:val="nil"/>
              <w:right w:val="nil"/>
            </w:tcBorders>
            <w:shd w:val="clear" w:color="auto" w:fill="FFFFFF" w:themeFill="background1"/>
            <w:vAlign w:val="center"/>
            <w:hideMark/>
          </w:tcPr>
          <w:p w14:paraId="54A6D793"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13.032,87</w:t>
            </w:r>
          </w:p>
        </w:tc>
      </w:tr>
      <w:tr w:rsidR="00777127" w:rsidRPr="00777127" w14:paraId="28005474"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327F9593"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Mobiliario</w:t>
            </w:r>
          </w:p>
        </w:tc>
        <w:tc>
          <w:tcPr>
            <w:tcW w:w="1352" w:type="dxa"/>
            <w:tcBorders>
              <w:top w:val="nil"/>
              <w:left w:val="nil"/>
              <w:bottom w:val="nil"/>
              <w:right w:val="nil"/>
            </w:tcBorders>
            <w:shd w:val="clear" w:color="auto" w:fill="FFFFFF" w:themeFill="background1"/>
            <w:vAlign w:val="center"/>
            <w:hideMark/>
          </w:tcPr>
          <w:p w14:paraId="6399EFCF"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175.834,74</w:t>
            </w:r>
          </w:p>
        </w:tc>
        <w:tc>
          <w:tcPr>
            <w:tcW w:w="1352" w:type="dxa"/>
            <w:tcBorders>
              <w:top w:val="nil"/>
              <w:left w:val="nil"/>
              <w:bottom w:val="nil"/>
              <w:right w:val="nil"/>
            </w:tcBorders>
            <w:shd w:val="clear" w:color="auto" w:fill="FFFFFF" w:themeFill="background1"/>
            <w:vAlign w:val="center"/>
            <w:hideMark/>
          </w:tcPr>
          <w:p w14:paraId="2391B603"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122.735,02</w:t>
            </w:r>
          </w:p>
        </w:tc>
      </w:tr>
      <w:tr w:rsidR="00777127" w:rsidRPr="00777127" w14:paraId="53F4FA4E"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2FB4A4EF"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Equipos proceso de información</w:t>
            </w:r>
          </w:p>
        </w:tc>
        <w:tc>
          <w:tcPr>
            <w:tcW w:w="1352" w:type="dxa"/>
            <w:tcBorders>
              <w:top w:val="nil"/>
              <w:left w:val="nil"/>
              <w:bottom w:val="nil"/>
              <w:right w:val="nil"/>
            </w:tcBorders>
            <w:shd w:val="clear" w:color="auto" w:fill="FFFFFF" w:themeFill="background1"/>
            <w:vAlign w:val="center"/>
            <w:hideMark/>
          </w:tcPr>
          <w:p w14:paraId="4028208B"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137.046,17</w:t>
            </w:r>
          </w:p>
        </w:tc>
        <w:tc>
          <w:tcPr>
            <w:tcW w:w="1352" w:type="dxa"/>
            <w:tcBorders>
              <w:top w:val="nil"/>
              <w:left w:val="nil"/>
              <w:bottom w:val="nil"/>
              <w:right w:val="nil"/>
            </w:tcBorders>
            <w:shd w:val="clear" w:color="auto" w:fill="FFFFFF" w:themeFill="background1"/>
            <w:vAlign w:val="center"/>
            <w:hideMark/>
          </w:tcPr>
          <w:p w14:paraId="5E75456B"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130.767,10</w:t>
            </w:r>
          </w:p>
        </w:tc>
      </w:tr>
      <w:tr w:rsidR="00777127" w:rsidRPr="00777127" w14:paraId="626A68A0"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78335368"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Elementos de transporte</w:t>
            </w:r>
          </w:p>
        </w:tc>
        <w:tc>
          <w:tcPr>
            <w:tcW w:w="1352" w:type="dxa"/>
            <w:tcBorders>
              <w:top w:val="nil"/>
              <w:left w:val="nil"/>
              <w:bottom w:val="nil"/>
              <w:right w:val="nil"/>
            </w:tcBorders>
            <w:shd w:val="clear" w:color="auto" w:fill="FFFFFF" w:themeFill="background1"/>
            <w:vAlign w:val="center"/>
            <w:hideMark/>
          </w:tcPr>
          <w:p w14:paraId="6413AB26"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40.005,00</w:t>
            </w:r>
          </w:p>
        </w:tc>
        <w:tc>
          <w:tcPr>
            <w:tcW w:w="1352" w:type="dxa"/>
            <w:tcBorders>
              <w:top w:val="nil"/>
              <w:left w:val="nil"/>
              <w:bottom w:val="nil"/>
              <w:right w:val="nil"/>
            </w:tcBorders>
            <w:shd w:val="clear" w:color="auto" w:fill="FFFFFF" w:themeFill="background1"/>
            <w:vAlign w:val="center"/>
            <w:hideMark/>
          </w:tcPr>
          <w:p w14:paraId="6199C012"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40.005,00</w:t>
            </w:r>
          </w:p>
        </w:tc>
      </w:tr>
      <w:tr w:rsidR="00777127" w:rsidRPr="00777127" w14:paraId="5554DB00" w14:textId="77777777" w:rsidTr="00414010">
        <w:trPr>
          <w:trHeight w:val="300"/>
          <w:jc w:val="center"/>
        </w:trPr>
        <w:tc>
          <w:tcPr>
            <w:tcW w:w="2636" w:type="dxa"/>
            <w:tcBorders>
              <w:top w:val="nil"/>
              <w:left w:val="nil"/>
              <w:bottom w:val="nil"/>
              <w:right w:val="nil"/>
            </w:tcBorders>
            <w:shd w:val="clear" w:color="auto" w:fill="FFFFFF" w:themeFill="background1"/>
            <w:noWrap/>
            <w:vAlign w:val="center"/>
            <w:hideMark/>
          </w:tcPr>
          <w:p w14:paraId="273CA628" w14:textId="77777777" w:rsidR="00777127" w:rsidRPr="00777127" w:rsidRDefault="00777127" w:rsidP="00777127">
            <w:pPr>
              <w:widowControl/>
              <w:autoSpaceDE/>
              <w:autoSpaceDN/>
              <w:adjustRightInd/>
              <w:rPr>
                <w:rFonts w:ascii="Times New Roman" w:hAnsi="Times New Roman" w:cs="Times New Roman"/>
                <w:color w:val="000000"/>
                <w:sz w:val="18"/>
                <w:szCs w:val="18"/>
              </w:rPr>
            </w:pPr>
            <w:r w:rsidRPr="00777127">
              <w:rPr>
                <w:rFonts w:ascii="Times New Roman" w:hAnsi="Times New Roman" w:cs="Times New Roman"/>
                <w:color w:val="000000"/>
                <w:sz w:val="18"/>
                <w:szCs w:val="18"/>
              </w:rPr>
              <w:t>Otro inmovilizado material</w:t>
            </w:r>
          </w:p>
        </w:tc>
        <w:tc>
          <w:tcPr>
            <w:tcW w:w="1352" w:type="dxa"/>
            <w:tcBorders>
              <w:top w:val="nil"/>
              <w:left w:val="nil"/>
              <w:bottom w:val="nil"/>
              <w:right w:val="nil"/>
            </w:tcBorders>
            <w:shd w:val="clear" w:color="auto" w:fill="FFFFFF" w:themeFill="background1"/>
            <w:vAlign w:val="center"/>
            <w:hideMark/>
          </w:tcPr>
          <w:p w14:paraId="5CBF12D0"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344.193,70</w:t>
            </w:r>
          </w:p>
        </w:tc>
        <w:tc>
          <w:tcPr>
            <w:tcW w:w="1352" w:type="dxa"/>
            <w:tcBorders>
              <w:top w:val="nil"/>
              <w:left w:val="nil"/>
              <w:bottom w:val="nil"/>
              <w:right w:val="nil"/>
            </w:tcBorders>
            <w:shd w:val="clear" w:color="auto" w:fill="FFFFFF" w:themeFill="background1"/>
            <w:vAlign w:val="center"/>
            <w:hideMark/>
          </w:tcPr>
          <w:p w14:paraId="29419DF0" w14:textId="77777777" w:rsidR="00777127" w:rsidRPr="00777127" w:rsidRDefault="00777127" w:rsidP="00B3369E">
            <w:pPr>
              <w:widowControl/>
              <w:autoSpaceDE/>
              <w:autoSpaceDN/>
              <w:adjustRightInd/>
              <w:jc w:val="center"/>
              <w:rPr>
                <w:rFonts w:ascii="Times New Roman" w:hAnsi="Times New Roman" w:cs="Times New Roman"/>
                <w:sz w:val="18"/>
                <w:szCs w:val="18"/>
              </w:rPr>
            </w:pPr>
            <w:r w:rsidRPr="00777127">
              <w:rPr>
                <w:rFonts w:ascii="Times New Roman" w:hAnsi="Times New Roman" w:cs="Times New Roman"/>
                <w:sz w:val="18"/>
                <w:szCs w:val="18"/>
              </w:rPr>
              <w:t>336.598,07</w:t>
            </w:r>
          </w:p>
        </w:tc>
      </w:tr>
      <w:tr w:rsidR="00777127" w:rsidRPr="00777127" w14:paraId="30DE0F36" w14:textId="77777777" w:rsidTr="00414010">
        <w:trPr>
          <w:trHeight w:val="300"/>
          <w:jc w:val="center"/>
        </w:trPr>
        <w:tc>
          <w:tcPr>
            <w:tcW w:w="2636" w:type="dxa"/>
            <w:tcBorders>
              <w:top w:val="single" w:sz="4" w:space="0" w:color="auto"/>
              <w:left w:val="nil"/>
              <w:bottom w:val="single" w:sz="4" w:space="0" w:color="auto"/>
              <w:right w:val="nil"/>
            </w:tcBorders>
            <w:shd w:val="clear" w:color="auto" w:fill="FFFFFF" w:themeFill="background1"/>
            <w:vAlign w:val="center"/>
            <w:hideMark/>
          </w:tcPr>
          <w:p w14:paraId="33626E89" w14:textId="77777777" w:rsidR="00777127" w:rsidRPr="00777127" w:rsidRDefault="00777127" w:rsidP="00777127">
            <w:pPr>
              <w:widowControl/>
              <w:autoSpaceDE/>
              <w:autoSpaceDN/>
              <w:adjustRightInd/>
              <w:rPr>
                <w:rFonts w:ascii="Times New Roman" w:hAnsi="Times New Roman" w:cs="Times New Roman"/>
                <w:b/>
                <w:bCs/>
                <w:color w:val="000000"/>
                <w:sz w:val="18"/>
                <w:szCs w:val="18"/>
              </w:rPr>
            </w:pPr>
            <w:r w:rsidRPr="00777127">
              <w:rPr>
                <w:rFonts w:ascii="Times New Roman" w:hAnsi="Times New Roman" w:cs="Times New Roman"/>
                <w:b/>
                <w:bCs/>
                <w:color w:val="000000"/>
                <w:sz w:val="18"/>
                <w:szCs w:val="18"/>
              </w:rPr>
              <w:t xml:space="preserve"> </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623747F2" w14:textId="77777777" w:rsidR="00777127" w:rsidRPr="00777127" w:rsidRDefault="00777127" w:rsidP="00B3369E">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749.347,95</w:t>
            </w:r>
          </w:p>
        </w:tc>
        <w:tc>
          <w:tcPr>
            <w:tcW w:w="1352" w:type="dxa"/>
            <w:tcBorders>
              <w:top w:val="single" w:sz="4" w:space="0" w:color="auto"/>
              <w:left w:val="nil"/>
              <w:bottom w:val="single" w:sz="4" w:space="0" w:color="auto"/>
              <w:right w:val="nil"/>
            </w:tcBorders>
            <w:shd w:val="clear" w:color="auto" w:fill="FFFFFF" w:themeFill="background1"/>
            <w:vAlign w:val="center"/>
            <w:hideMark/>
          </w:tcPr>
          <w:p w14:paraId="7DD0085F" w14:textId="77777777" w:rsidR="00777127" w:rsidRPr="00777127" w:rsidRDefault="00777127" w:rsidP="00B3369E">
            <w:pPr>
              <w:widowControl/>
              <w:autoSpaceDE/>
              <w:autoSpaceDN/>
              <w:adjustRightInd/>
              <w:jc w:val="center"/>
              <w:rPr>
                <w:rFonts w:ascii="Times New Roman" w:hAnsi="Times New Roman" w:cs="Times New Roman"/>
                <w:b/>
                <w:bCs/>
                <w:sz w:val="18"/>
                <w:szCs w:val="18"/>
              </w:rPr>
            </w:pPr>
            <w:r w:rsidRPr="00777127">
              <w:rPr>
                <w:rFonts w:ascii="Times New Roman" w:hAnsi="Times New Roman" w:cs="Times New Roman"/>
                <w:b/>
                <w:bCs/>
                <w:sz w:val="18"/>
                <w:szCs w:val="18"/>
              </w:rPr>
              <w:t>659.373,53</w:t>
            </w:r>
          </w:p>
        </w:tc>
      </w:tr>
    </w:tbl>
    <w:p w14:paraId="191997D6" w14:textId="05E2AD8F" w:rsidR="00777127" w:rsidRDefault="00777127" w:rsidP="000576A2">
      <w:pPr>
        <w:shd w:val="clear" w:color="auto" w:fill="FFFFFF"/>
        <w:ind w:left="709"/>
        <w:jc w:val="both"/>
        <w:rPr>
          <w:rFonts w:ascii="Times New Roman" w:hAnsi="Times New Roman" w:cs="Times New Roman"/>
          <w:b/>
          <w:color w:val="0000FF"/>
          <w:sz w:val="22"/>
          <w:szCs w:val="22"/>
          <w:lang w:val="es-ES_tradnl" w:eastAsia="es-ES_tradnl"/>
        </w:rPr>
      </w:pPr>
    </w:p>
    <w:p w14:paraId="3B067FC9" w14:textId="77777777" w:rsidR="00D37DF2" w:rsidRPr="00C8275B" w:rsidRDefault="00D37DF2" w:rsidP="000576A2">
      <w:pPr>
        <w:shd w:val="clear" w:color="auto" w:fill="FFFFFF"/>
        <w:ind w:left="709"/>
        <w:jc w:val="both"/>
        <w:rPr>
          <w:rFonts w:ascii="Times New Roman" w:hAnsi="Times New Roman" w:cs="Times New Roman"/>
          <w:b/>
          <w:color w:val="0000FF"/>
          <w:sz w:val="22"/>
          <w:szCs w:val="22"/>
          <w:lang w:val="es-ES_tradnl" w:eastAsia="es-ES_tradnl"/>
        </w:rPr>
      </w:pPr>
    </w:p>
    <w:p w14:paraId="036109E1" w14:textId="77777777" w:rsidR="000576A2" w:rsidRPr="00C8275B" w:rsidRDefault="000576A2" w:rsidP="000576A2">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cedidos de Dominio Público</w:t>
      </w:r>
    </w:p>
    <w:p w14:paraId="3CC4B7A2" w14:textId="77777777" w:rsidR="000576A2" w:rsidRPr="00C8275B" w:rsidRDefault="000576A2" w:rsidP="000576A2">
      <w:pPr>
        <w:shd w:val="clear" w:color="auto" w:fill="FFFFFF"/>
        <w:ind w:left="709"/>
        <w:jc w:val="both"/>
        <w:rPr>
          <w:rFonts w:ascii="Times New Roman" w:hAnsi="Times New Roman" w:cs="Times New Roman"/>
          <w:b/>
          <w:sz w:val="22"/>
          <w:szCs w:val="22"/>
          <w:lang w:val="es-ES_tradnl" w:eastAsia="es-ES_tradnl"/>
        </w:rPr>
      </w:pPr>
    </w:p>
    <w:p w14:paraId="61C592D9"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bookmarkStart w:id="0" w:name="OLE_LINK3"/>
      <w:bookmarkStart w:id="1" w:name="OLE_LINK4"/>
      <w:bookmarkStart w:id="2" w:name="OLE_LINK5"/>
      <w:r w:rsidRPr="00C8275B">
        <w:rPr>
          <w:rFonts w:ascii="Times New Roman" w:hAnsi="Times New Roman" w:cs="Times New Roman"/>
          <w:spacing w:val="-2"/>
          <w:sz w:val="22"/>
          <w:szCs w:val="22"/>
          <w:lang w:val="es-ES_tradnl" w:eastAsia="es-ES_tradnl"/>
        </w:rPr>
        <w:t xml:space="preserve">En el  ejercicio 2012 se activó en el inmovilizado material, el Edificio Miller sito en la calle Simón Bolívar número 12 y el Castillo de Mata, sito en la carretera de Mata,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w:t>
      </w:r>
      <w:bookmarkStart w:id="3" w:name="OLE_LINK1"/>
      <w:bookmarkStart w:id="4" w:name="OLE_LINK2"/>
      <w:bookmarkEnd w:id="0"/>
      <w:bookmarkEnd w:id="1"/>
      <w:bookmarkEnd w:id="2"/>
      <w:r w:rsidRPr="00C8275B">
        <w:rPr>
          <w:rFonts w:ascii="Times New Roman" w:hAnsi="Times New Roman" w:cs="Times New Roman"/>
          <w:spacing w:val="-2"/>
          <w:sz w:val="22"/>
          <w:szCs w:val="22"/>
          <w:lang w:val="es-ES_tradnl" w:eastAsia="es-ES_tradnl"/>
        </w:rPr>
        <w:t xml:space="preserve"> </w:t>
      </w:r>
    </w:p>
    <w:p w14:paraId="5E710F7A" w14:textId="77777777" w:rsidR="00CB3858" w:rsidRDefault="00CB3858" w:rsidP="000576A2">
      <w:pPr>
        <w:shd w:val="clear" w:color="auto" w:fill="FFFFFF"/>
        <w:ind w:left="709"/>
        <w:jc w:val="both"/>
        <w:rPr>
          <w:rFonts w:ascii="Times New Roman" w:hAnsi="Times New Roman" w:cs="Times New Roman"/>
          <w:spacing w:val="-2"/>
          <w:sz w:val="22"/>
          <w:szCs w:val="22"/>
          <w:lang w:val="es-ES_tradnl" w:eastAsia="es-ES_tradnl"/>
        </w:rPr>
      </w:pPr>
    </w:p>
    <w:p w14:paraId="4787A8C0" w14:textId="449D37C3"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3A619635" w14:textId="77777777" w:rsidR="00DB095F" w:rsidRPr="00C8275B" w:rsidRDefault="00DB095F" w:rsidP="000576A2">
      <w:pPr>
        <w:shd w:val="clear" w:color="auto" w:fill="FFFFFF"/>
        <w:ind w:left="709"/>
        <w:jc w:val="both"/>
        <w:rPr>
          <w:rFonts w:ascii="Times New Roman" w:hAnsi="Times New Roman" w:cs="Times New Roman"/>
          <w:color w:val="0000FF"/>
          <w:spacing w:val="-2"/>
          <w:sz w:val="22"/>
          <w:szCs w:val="22"/>
          <w:lang w:val="es-ES_tradnl" w:eastAsia="es-ES_tradnl"/>
        </w:rPr>
      </w:pPr>
    </w:p>
    <w:p w14:paraId="4CCC3B88"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C8275B">
        <w:rPr>
          <w:rFonts w:ascii="Times New Roman" w:hAnsi="Times New Roman" w:cs="Times New Roman"/>
          <w:spacing w:val="-2"/>
          <w:sz w:val="22"/>
          <w:szCs w:val="22"/>
          <w:lang w:val="es-ES_tradnl" w:eastAsia="es-ES_tradnl"/>
        </w:rPr>
        <w:t>nº</w:t>
      </w:r>
      <w:proofErr w:type="spellEnd"/>
      <w:r w:rsidRPr="00C8275B">
        <w:rPr>
          <w:rFonts w:ascii="Times New Roman" w:hAnsi="Times New Roman" w:cs="Times New Roman"/>
          <w:spacing w:val="-2"/>
          <w:sz w:val="22"/>
          <w:szCs w:val="22"/>
          <w:lang w:val="es-ES_tradnl" w:eastAsia="es-ES_tradnl"/>
        </w:rPr>
        <w:t xml:space="preserve"> 1, en el distrito Vegueta-Cono Sur y Tafira; y El Palacete Rodriguez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sito en la calle Benito Pérez </w:t>
      </w:r>
      <w:proofErr w:type="spellStart"/>
      <w:r w:rsidRPr="00C8275B">
        <w:rPr>
          <w:rFonts w:ascii="Times New Roman" w:hAnsi="Times New Roman" w:cs="Times New Roman"/>
          <w:spacing w:val="-2"/>
          <w:sz w:val="22"/>
          <w:szCs w:val="22"/>
          <w:lang w:val="es-ES_tradnl" w:eastAsia="es-ES_tradnl"/>
        </w:rPr>
        <w:t>Galdos</w:t>
      </w:r>
      <w:proofErr w:type="spellEnd"/>
      <w:r w:rsidRPr="00C8275B">
        <w:rPr>
          <w:rFonts w:ascii="Times New Roman" w:hAnsi="Times New Roman" w:cs="Times New Roman"/>
          <w:spacing w:val="-2"/>
          <w:sz w:val="22"/>
          <w:szCs w:val="22"/>
          <w:lang w:val="es-ES_tradnl" w:eastAsia="es-ES_tradnl"/>
        </w:rPr>
        <w:t xml:space="preserve">, escritor </w:t>
      </w:r>
      <w:proofErr w:type="spellStart"/>
      <w:r w:rsidRPr="00C8275B">
        <w:rPr>
          <w:rFonts w:ascii="Times New Roman" w:hAnsi="Times New Roman" w:cs="Times New Roman"/>
          <w:spacing w:val="-2"/>
          <w:sz w:val="22"/>
          <w:szCs w:val="22"/>
          <w:lang w:val="es-ES_tradnl" w:eastAsia="es-ES_tradnl"/>
        </w:rPr>
        <w:t>nº</w:t>
      </w:r>
      <w:proofErr w:type="spellEnd"/>
      <w:r w:rsidRPr="00C8275B">
        <w:rPr>
          <w:rFonts w:ascii="Times New Roman" w:hAnsi="Times New Roman" w:cs="Times New Roman"/>
          <w:spacing w:val="-2"/>
          <w:sz w:val="22"/>
          <w:szCs w:val="22"/>
          <w:lang w:val="es-ES_tradnl" w:eastAsia="es-ES_tradnl"/>
        </w:rPr>
        <w:t xml:space="preserve"> 4, en el distrito Centro de Las Palmas de Gran Canaria;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w:t>
      </w:r>
      <w:proofErr w:type="gramStart"/>
      <w:r w:rsidRPr="00C8275B">
        <w:rPr>
          <w:rFonts w:ascii="Times New Roman" w:hAnsi="Times New Roman" w:cs="Times New Roman"/>
          <w:spacing w:val="-2"/>
          <w:sz w:val="22"/>
          <w:szCs w:val="22"/>
          <w:lang w:val="es-ES_tradnl" w:eastAsia="es-ES_tradnl"/>
        </w:rPr>
        <w:t>Euros</w:t>
      </w:r>
      <w:proofErr w:type="gramEnd"/>
      <w:r w:rsidRPr="00C8275B">
        <w:rPr>
          <w:rFonts w:ascii="Times New Roman" w:hAnsi="Times New Roman" w:cs="Times New Roman"/>
          <w:spacing w:val="-2"/>
          <w:sz w:val="22"/>
          <w:szCs w:val="22"/>
          <w:lang w:val="es-ES_tradnl" w:eastAsia="es-ES_tradnl"/>
        </w:rPr>
        <w:t xml:space="preserve">.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5214A6CC" w14:textId="77777777" w:rsidR="00D37DF2" w:rsidRPr="00C8275B" w:rsidRDefault="00D37DF2" w:rsidP="000576A2">
      <w:pPr>
        <w:shd w:val="clear" w:color="auto" w:fill="FFFFFF"/>
        <w:ind w:left="709"/>
        <w:jc w:val="both"/>
        <w:rPr>
          <w:rFonts w:ascii="Times New Roman" w:hAnsi="Times New Roman" w:cs="Times New Roman"/>
          <w:spacing w:val="-2"/>
          <w:sz w:val="22"/>
          <w:szCs w:val="22"/>
          <w:lang w:val="es-ES_tradnl" w:eastAsia="es-ES_tradnl"/>
        </w:rPr>
      </w:pPr>
    </w:p>
    <w:p w14:paraId="7D4FCA81" w14:textId="77777777" w:rsidR="000576A2" w:rsidRPr="00C8275B" w:rsidRDefault="000576A2" w:rsidP="000576A2">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Dichas activaciones realizas en el ejercicio 2015, </w:t>
      </w:r>
      <w:bookmarkStart w:id="5" w:name="OLE_LINK6"/>
      <w:bookmarkStart w:id="6" w:name="OLE_LINK7"/>
      <w:r w:rsidRPr="00C8275B">
        <w:rPr>
          <w:rFonts w:ascii="Times New Roman" w:hAnsi="Times New Roman" w:cs="Times New Roman"/>
          <w:spacing w:val="-2"/>
          <w:sz w:val="22"/>
          <w:szCs w:val="22"/>
          <w:lang w:val="es-ES_tradnl" w:eastAsia="es-ES_tradnl"/>
        </w:rPr>
        <w:t xml:space="preserve">del Conjunto Castillo de la Luz y Pabellón anexo, del equipamiento cultural el Molino de las Magnolias y del Palacete Rodriguez </w:t>
      </w:r>
      <w:proofErr w:type="spellStart"/>
      <w:r w:rsidRPr="00C8275B">
        <w:rPr>
          <w:rFonts w:ascii="Times New Roman" w:hAnsi="Times New Roman" w:cs="Times New Roman"/>
          <w:spacing w:val="-2"/>
          <w:sz w:val="22"/>
          <w:szCs w:val="22"/>
          <w:lang w:val="es-ES_tradnl" w:eastAsia="es-ES_tradnl"/>
        </w:rPr>
        <w:t>Quegles</w:t>
      </w:r>
      <w:bookmarkEnd w:id="5"/>
      <w:bookmarkEnd w:id="6"/>
      <w:proofErr w:type="spellEnd"/>
      <w:r w:rsidRPr="00C8275B">
        <w:rPr>
          <w:rFonts w:ascii="Times New Roman" w:hAnsi="Times New Roman" w:cs="Times New Roman"/>
          <w:spacing w:val="-2"/>
          <w:sz w:val="22"/>
          <w:szCs w:val="22"/>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C8275B">
        <w:rPr>
          <w:rFonts w:ascii="Times New Roman" w:hAnsi="Times New Roman" w:cs="Times New Roman"/>
          <w:spacing w:val="-2"/>
          <w:sz w:val="22"/>
          <w:szCs w:val="22"/>
          <w:lang w:val="es-ES_tradnl" w:eastAsia="es-ES_tradnl"/>
        </w:rPr>
        <w:t>Promocion</w:t>
      </w:r>
      <w:proofErr w:type="spellEnd"/>
      <w:r w:rsidRPr="00C8275B">
        <w:rPr>
          <w:rFonts w:ascii="Times New Roman" w:hAnsi="Times New Roman" w:cs="Times New Roman"/>
          <w:spacing w:val="-2"/>
          <w:sz w:val="22"/>
          <w:szCs w:val="22"/>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se adscribió con la Resolución número 11304/2015 de fecha 09 de mayo 2015.</w:t>
      </w:r>
    </w:p>
    <w:p w14:paraId="7918B45D" w14:textId="77777777" w:rsidR="00D37DF2" w:rsidRPr="00C8275B" w:rsidRDefault="00D37DF2"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19E5D5BD" w14:textId="77777777" w:rsidR="009A6F4A" w:rsidRDefault="009A6F4A"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7DA9A5DC" w14:textId="77777777" w:rsidR="009A6F4A" w:rsidRDefault="009A6F4A"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43CC5D94" w14:textId="21456112"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lastRenderedPageBreak/>
        <w:t>Políticas de seguros</w:t>
      </w:r>
    </w:p>
    <w:p w14:paraId="122ED21B" w14:textId="77777777" w:rsidR="001F5027" w:rsidRPr="00C8275B" w:rsidRDefault="001F5027" w:rsidP="001F5027">
      <w:pPr>
        <w:shd w:val="clear" w:color="auto" w:fill="FFFFFF"/>
        <w:ind w:left="709"/>
        <w:jc w:val="both"/>
        <w:rPr>
          <w:rFonts w:ascii="Times New Roman" w:hAnsi="Times New Roman" w:cs="Times New Roman"/>
          <w:spacing w:val="-2"/>
          <w:sz w:val="22"/>
          <w:szCs w:val="22"/>
          <w:lang w:val="es-ES_tradnl" w:eastAsia="es-ES_tradnl"/>
        </w:rPr>
      </w:pPr>
    </w:p>
    <w:p w14:paraId="293F1965" w14:textId="77777777" w:rsidR="001F5027" w:rsidRPr="00C8275B" w:rsidRDefault="001F5027" w:rsidP="001F5027">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w:t>
      </w:r>
      <w:r w:rsidR="002A7527"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sigue la práctica de formalizar pólizas de seguros para cubrir los posibles riesgos a los que están expuestos los diversos elementos de su inmovilizado material</w:t>
      </w:r>
      <w:r w:rsidR="002A7527" w:rsidRPr="00C8275B">
        <w:rPr>
          <w:rFonts w:ascii="Times New Roman" w:hAnsi="Times New Roman" w:cs="Times New Roman"/>
          <w:spacing w:val="-2"/>
          <w:sz w:val="22"/>
          <w:szCs w:val="22"/>
          <w:lang w:val="es-ES_tradnl" w:eastAsia="es-ES_tradnl"/>
        </w:rPr>
        <w:t>.</w:t>
      </w:r>
      <w:r w:rsidRPr="00C8275B">
        <w:rPr>
          <w:rFonts w:ascii="Times New Roman" w:hAnsi="Times New Roman" w:cs="Times New Roman"/>
          <w:spacing w:val="-2"/>
          <w:sz w:val="22"/>
          <w:szCs w:val="22"/>
          <w:lang w:val="es-ES_tradnl" w:eastAsia="es-ES_tradnl"/>
        </w:rPr>
        <w:t xml:space="preserve"> Los Administradores de la Sociedad estiman que la cobertura contratada al cierre del ejercicio resulta suficiente para cubrir los riesgos propios de las actividades de la Sociedad.</w:t>
      </w:r>
    </w:p>
    <w:bookmarkEnd w:id="3"/>
    <w:bookmarkEnd w:id="4"/>
    <w:p w14:paraId="143C281A" w14:textId="0AE740DA"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64AFA770" w14:textId="77777777"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0E4B0FBA" w14:textId="77777777" w:rsidR="00486703" w:rsidRDefault="00486703" w:rsidP="00D1236B">
      <w:pPr>
        <w:shd w:val="clear" w:color="auto" w:fill="FFFFFF"/>
        <w:ind w:firstLine="709"/>
        <w:jc w:val="both"/>
        <w:rPr>
          <w:rFonts w:ascii="Times New Roman" w:hAnsi="Times New Roman" w:cs="Times New Roman"/>
          <w:b/>
          <w:sz w:val="22"/>
          <w:szCs w:val="22"/>
          <w:lang w:val="es-ES_tradnl" w:eastAsia="es-ES_tradnl"/>
        </w:rPr>
      </w:pPr>
    </w:p>
    <w:p w14:paraId="6AC7A55B" w14:textId="62DB3347" w:rsidR="00D1236B" w:rsidRPr="00C8275B" w:rsidRDefault="00D1236B" w:rsidP="00D1236B">
      <w:pPr>
        <w:shd w:val="clear" w:color="auto" w:fill="FFFFFF"/>
        <w:ind w:firstLine="709"/>
        <w:jc w:val="both"/>
        <w:rPr>
          <w:rFonts w:ascii="Times New Roman" w:hAnsi="Times New Roman" w:cs="Times New Roman"/>
          <w:b/>
          <w:sz w:val="22"/>
          <w:szCs w:val="22"/>
        </w:rPr>
      </w:pPr>
      <w:r w:rsidRPr="00C8275B">
        <w:rPr>
          <w:rFonts w:ascii="Times New Roman" w:hAnsi="Times New Roman" w:cs="Times New Roman"/>
          <w:b/>
          <w:sz w:val="22"/>
          <w:szCs w:val="22"/>
          <w:lang w:val="es-ES_tradnl" w:eastAsia="es-ES_tradnl"/>
        </w:rPr>
        <w:t xml:space="preserve">7. </w:t>
      </w:r>
      <w:r w:rsidRPr="00C8275B">
        <w:rPr>
          <w:rFonts w:ascii="Times New Roman" w:hAnsi="Times New Roman" w:cs="Times New Roman"/>
          <w:b/>
          <w:sz w:val="22"/>
          <w:szCs w:val="22"/>
          <w:u w:val="double"/>
          <w:lang w:val="es-ES_tradnl" w:eastAsia="es-ES_tradnl"/>
        </w:rPr>
        <w:t xml:space="preserve">ARRENDAMIENTOS Y OTRAS OPERCIONES DE NATURALEZA SIMILAR </w:t>
      </w:r>
    </w:p>
    <w:p w14:paraId="40254EC7" w14:textId="77777777" w:rsidR="0070062A" w:rsidRDefault="0070062A" w:rsidP="00D1236B">
      <w:pPr>
        <w:shd w:val="clear" w:color="auto" w:fill="FFFFFF"/>
        <w:ind w:left="709"/>
        <w:jc w:val="both"/>
        <w:rPr>
          <w:rFonts w:ascii="Times New Roman" w:hAnsi="Times New Roman" w:cs="Times New Roman"/>
          <w:spacing w:val="-2"/>
          <w:sz w:val="22"/>
          <w:szCs w:val="22"/>
          <w:u w:val="single"/>
          <w:lang w:val="es-ES_tradnl" w:eastAsia="es-ES_tradnl"/>
        </w:rPr>
      </w:pPr>
    </w:p>
    <w:p w14:paraId="4B35EE26" w14:textId="112128C2" w:rsidR="00D1236B" w:rsidRPr="00C8275B" w:rsidRDefault="00D1236B" w:rsidP="00D1236B">
      <w:pPr>
        <w:shd w:val="clear" w:color="auto" w:fill="FFFFFF"/>
        <w:ind w:left="709"/>
        <w:jc w:val="both"/>
        <w:rPr>
          <w:rFonts w:ascii="Times New Roman" w:hAnsi="Times New Roman" w:cs="Times New Roman"/>
          <w:spacing w:val="-2"/>
          <w:sz w:val="22"/>
          <w:szCs w:val="22"/>
          <w:u w:val="single"/>
          <w:lang w:val="es-ES_tradnl" w:eastAsia="es-ES_tradnl"/>
        </w:rPr>
      </w:pPr>
      <w:r w:rsidRPr="00C8275B">
        <w:rPr>
          <w:rFonts w:ascii="Times New Roman" w:hAnsi="Times New Roman" w:cs="Times New Roman"/>
          <w:spacing w:val="-2"/>
          <w:sz w:val="22"/>
          <w:szCs w:val="22"/>
          <w:u w:val="single"/>
          <w:lang w:val="es-ES_tradnl" w:eastAsia="es-ES_tradnl"/>
        </w:rPr>
        <w:t>Arrendamientos operativos:</w:t>
      </w:r>
    </w:p>
    <w:p w14:paraId="6EFE0311"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p w14:paraId="21C88629"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 no tiene formalizado arrendamientos operativos no cancelables:</w:t>
      </w:r>
    </w:p>
    <w:p w14:paraId="24CF846D" w14:textId="77777777" w:rsidR="00D1236B" w:rsidRPr="00C8275B" w:rsidRDefault="00D1236B" w:rsidP="00D1236B">
      <w:pPr>
        <w:pStyle w:val="Default"/>
        <w:jc w:val="both"/>
        <w:rPr>
          <w:rFonts w:ascii="Times New Roman" w:hAnsi="Times New Roman" w:cs="Times New Roman"/>
          <w:color w:val="00B050"/>
          <w:sz w:val="20"/>
          <w:szCs w:val="20"/>
        </w:rPr>
      </w:pPr>
    </w:p>
    <w:p w14:paraId="7C6EDAFC" w14:textId="77777777" w:rsidR="00D1236B" w:rsidRPr="00C8275B" w:rsidRDefault="00D1236B" w:rsidP="00D1236B">
      <w:pPr>
        <w:pStyle w:val="Default"/>
        <w:jc w:val="both"/>
        <w:rPr>
          <w:rFonts w:ascii="Times New Roman" w:hAnsi="Times New Roman" w:cs="Times New Roman"/>
          <w:b/>
          <w:color w:val="00B050"/>
          <w:sz w:val="20"/>
          <w:szCs w:val="20"/>
        </w:rPr>
      </w:pPr>
    </w:p>
    <w:p w14:paraId="32265F80" w14:textId="77777777" w:rsidR="00D1236B" w:rsidRPr="00C8275B" w:rsidRDefault="00D1236B" w:rsidP="00D1236B">
      <w:pPr>
        <w:shd w:val="clear" w:color="auto" w:fill="FFFFFF"/>
        <w:ind w:left="709"/>
        <w:jc w:val="both"/>
        <w:rPr>
          <w:rFonts w:ascii="Times New Roman" w:hAnsi="Times New Roman" w:cs="Times New Roman"/>
          <w:b/>
          <w:bCs/>
          <w:spacing w:val="-2"/>
          <w:sz w:val="22"/>
          <w:szCs w:val="22"/>
          <w:lang w:val="es-ES_tradnl" w:eastAsia="es-ES_tradnl"/>
        </w:rPr>
      </w:pPr>
      <w:r w:rsidRPr="00C8275B">
        <w:rPr>
          <w:rFonts w:ascii="Times New Roman" w:hAnsi="Times New Roman" w:cs="Times New Roman"/>
          <w:b/>
          <w:bCs/>
          <w:spacing w:val="-2"/>
          <w:sz w:val="22"/>
          <w:szCs w:val="22"/>
          <w:lang w:val="es-ES_tradnl" w:eastAsia="es-ES_tradnl"/>
        </w:rPr>
        <w:t>Como Arrendataria:</w:t>
      </w:r>
    </w:p>
    <w:p w14:paraId="052A7F48" w14:textId="77777777" w:rsidR="00D1236B" w:rsidRPr="00C8275B" w:rsidRDefault="00D1236B" w:rsidP="00D1236B">
      <w:pPr>
        <w:shd w:val="clear" w:color="auto" w:fill="FFFFFF"/>
        <w:ind w:left="709"/>
        <w:jc w:val="both"/>
        <w:rPr>
          <w:rFonts w:ascii="Times New Roman" w:hAnsi="Times New Roman" w:cs="Times New Roman"/>
          <w:b/>
          <w:bCs/>
          <w:spacing w:val="-2"/>
          <w:sz w:val="22"/>
          <w:szCs w:val="22"/>
          <w:lang w:val="es-ES_tradnl" w:eastAsia="es-ES_tradnl"/>
        </w:rPr>
      </w:pPr>
    </w:p>
    <w:p w14:paraId="4A618F19" w14:textId="09769962"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 Sociedad tiene formalizado los siguientes arrendamientos operativos:</w:t>
      </w:r>
    </w:p>
    <w:p w14:paraId="25E6FEBF" w14:textId="77777777" w:rsidR="00D1236B" w:rsidRPr="00C8275B" w:rsidRDefault="00D1236B" w:rsidP="00D1236B">
      <w:pPr>
        <w:shd w:val="clear" w:color="auto" w:fill="FFFFFF"/>
        <w:ind w:left="709"/>
        <w:jc w:val="both"/>
        <w:rPr>
          <w:rFonts w:ascii="Times New Roman" w:hAnsi="Times New Roman" w:cs="Times New Roman"/>
          <w:spacing w:val="-2"/>
          <w:sz w:val="22"/>
          <w:szCs w:val="22"/>
          <w:lang w:val="es-ES_tradnl" w:eastAsia="es-ES_tradnl"/>
        </w:rPr>
      </w:pPr>
    </w:p>
    <w:tbl>
      <w:tblPr>
        <w:tblW w:w="3555" w:type="dxa"/>
        <w:jc w:val="center"/>
        <w:tblCellMar>
          <w:left w:w="70" w:type="dxa"/>
          <w:right w:w="70" w:type="dxa"/>
        </w:tblCellMar>
        <w:tblLook w:val="04A0" w:firstRow="1" w:lastRow="0" w:firstColumn="1" w:lastColumn="0" w:noHBand="0" w:noVBand="1"/>
      </w:tblPr>
      <w:tblGrid>
        <w:gridCol w:w="1605"/>
        <w:gridCol w:w="975"/>
        <w:gridCol w:w="975"/>
      </w:tblGrid>
      <w:tr w:rsidR="00FE0150" w:rsidRPr="00B3369E" w14:paraId="27E4C49D" w14:textId="77777777" w:rsidTr="00071A7A">
        <w:trPr>
          <w:trHeight w:val="321"/>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1BBB96CA" w14:textId="04B88D61" w:rsidR="00D1236B" w:rsidRPr="00B3369E" w:rsidRDefault="00D1236B" w:rsidP="00E26A53">
            <w:pPr>
              <w:jc w:val="center"/>
              <w:rPr>
                <w:rFonts w:ascii="Times New Roman" w:hAnsi="Times New Roman" w:cs="Times New Roman"/>
                <w:b/>
                <w:bCs/>
                <w:sz w:val="18"/>
                <w:szCs w:val="16"/>
              </w:rPr>
            </w:pPr>
            <w:bookmarkStart w:id="7" w:name="RANGE!E7"/>
            <w:r w:rsidRPr="00B3369E">
              <w:rPr>
                <w:rFonts w:ascii="Times New Roman" w:hAnsi="Times New Roman" w:cs="Times New Roman"/>
                <w:b/>
                <w:bCs/>
                <w:sz w:val="18"/>
                <w:szCs w:val="16"/>
              </w:rPr>
              <w:t>D</w:t>
            </w:r>
            <w:r w:rsidR="00B3369E" w:rsidRPr="00B3369E">
              <w:rPr>
                <w:rFonts w:ascii="Times New Roman" w:hAnsi="Times New Roman" w:cs="Times New Roman"/>
                <w:b/>
                <w:bCs/>
                <w:sz w:val="18"/>
                <w:szCs w:val="16"/>
              </w:rPr>
              <w:t>escripción</w:t>
            </w:r>
            <w:bookmarkEnd w:id="7"/>
          </w:p>
        </w:tc>
        <w:tc>
          <w:tcPr>
            <w:tcW w:w="0" w:type="auto"/>
            <w:tcBorders>
              <w:top w:val="single" w:sz="4" w:space="0" w:color="auto"/>
              <w:left w:val="nil"/>
              <w:bottom w:val="single" w:sz="4" w:space="0" w:color="auto"/>
              <w:right w:val="nil"/>
            </w:tcBorders>
            <w:shd w:val="clear" w:color="auto" w:fill="FFFFFF" w:themeFill="background1"/>
            <w:vAlign w:val="center"/>
            <w:hideMark/>
          </w:tcPr>
          <w:p w14:paraId="06947BA8" w14:textId="30D83338" w:rsidR="00D1236B" w:rsidRPr="00B3369E" w:rsidRDefault="00D1236B"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202</w:t>
            </w:r>
            <w:r w:rsidR="008513D2" w:rsidRPr="00B3369E">
              <w:rPr>
                <w:rFonts w:ascii="Times New Roman" w:hAnsi="Times New Roman" w:cs="Times New Roman"/>
                <w:b/>
                <w:bCs/>
                <w:sz w:val="18"/>
                <w:szCs w:val="16"/>
              </w:rPr>
              <w:t>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9589F52" w14:textId="3F5F5023" w:rsidR="00D1236B" w:rsidRPr="00B3369E" w:rsidRDefault="00D1236B"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202</w:t>
            </w:r>
            <w:r w:rsidR="008513D2" w:rsidRPr="00B3369E">
              <w:rPr>
                <w:rFonts w:ascii="Times New Roman" w:hAnsi="Times New Roman" w:cs="Times New Roman"/>
                <w:b/>
                <w:bCs/>
                <w:sz w:val="18"/>
                <w:szCs w:val="16"/>
              </w:rPr>
              <w:t>1</w:t>
            </w:r>
          </w:p>
        </w:tc>
      </w:tr>
      <w:tr w:rsidR="00FE0150" w:rsidRPr="00B3369E" w14:paraId="46616D9D" w14:textId="77777777" w:rsidTr="00071A7A">
        <w:trPr>
          <w:trHeight w:val="337"/>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0E577AE1" w14:textId="77777777" w:rsidR="00D1236B" w:rsidRPr="00B3369E" w:rsidRDefault="00D1236B" w:rsidP="00E26A53">
            <w:pPr>
              <w:rPr>
                <w:rFonts w:ascii="Times New Roman" w:hAnsi="Times New Roman" w:cs="Times New Roman"/>
                <w:sz w:val="18"/>
                <w:szCs w:val="16"/>
              </w:rPr>
            </w:pPr>
            <w:r w:rsidRPr="00B3369E">
              <w:rPr>
                <w:rFonts w:ascii="Times New Roman" w:hAnsi="Times New Roman" w:cs="Times New Roman"/>
                <w:sz w:val="18"/>
                <w:szCs w:val="16"/>
              </w:rPr>
              <w:t>Bienes inmuebles</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D11B3EC" w14:textId="1D2C821D" w:rsidR="00D1236B" w:rsidRPr="00B3369E" w:rsidRDefault="00FE0150" w:rsidP="00E26A53">
            <w:pPr>
              <w:jc w:val="center"/>
              <w:rPr>
                <w:rFonts w:ascii="Times New Roman" w:hAnsi="Times New Roman" w:cs="Times New Roman"/>
                <w:sz w:val="18"/>
                <w:szCs w:val="16"/>
              </w:rPr>
            </w:pPr>
            <w:r w:rsidRPr="00B3369E">
              <w:rPr>
                <w:rFonts w:ascii="Times New Roman" w:hAnsi="Times New Roman" w:cs="Times New Roman"/>
                <w:sz w:val="18"/>
                <w:szCs w:val="16"/>
              </w:rPr>
              <w:t>72.000,00</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3B3048B0" w14:textId="7E819A86" w:rsidR="00D1236B" w:rsidRPr="00B3369E" w:rsidRDefault="00D1236B" w:rsidP="00E26A53">
            <w:pPr>
              <w:jc w:val="center"/>
              <w:rPr>
                <w:rFonts w:ascii="Times New Roman" w:hAnsi="Times New Roman" w:cs="Times New Roman"/>
                <w:sz w:val="18"/>
                <w:szCs w:val="16"/>
              </w:rPr>
            </w:pPr>
            <w:r w:rsidRPr="00B3369E">
              <w:rPr>
                <w:rFonts w:ascii="Times New Roman" w:hAnsi="Times New Roman" w:cs="Times New Roman"/>
                <w:sz w:val="18"/>
                <w:szCs w:val="16"/>
              </w:rPr>
              <w:t>18.</w:t>
            </w:r>
            <w:r w:rsidR="00FE0150" w:rsidRPr="00B3369E">
              <w:rPr>
                <w:rFonts w:ascii="Times New Roman" w:hAnsi="Times New Roman" w:cs="Times New Roman"/>
                <w:sz w:val="18"/>
                <w:szCs w:val="16"/>
              </w:rPr>
              <w:t>900</w:t>
            </w:r>
            <w:r w:rsidRPr="00B3369E">
              <w:rPr>
                <w:rFonts w:ascii="Times New Roman" w:hAnsi="Times New Roman" w:cs="Times New Roman"/>
                <w:sz w:val="18"/>
                <w:szCs w:val="16"/>
              </w:rPr>
              <w:t>,</w:t>
            </w:r>
            <w:r w:rsidR="00FE0150" w:rsidRPr="00B3369E">
              <w:rPr>
                <w:rFonts w:ascii="Times New Roman" w:hAnsi="Times New Roman" w:cs="Times New Roman"/>
                <w:sz w:val="18"/>
                <w:szCs w:val="16"/>
              </w:rPr>
              <w:t>00</w:t>
            </w:r>
          </w:p>
        </w:tc>
      </w:tr>
      <w:tr w:rsidR="00FE0150" w:rsidRPr="00B3369E" w14:paraId="7C4DFEA2" w14:textId="77777777" w:rsidTr="00071A7A">
        <w:trPr>
          <w:trHeight w:val="321"/>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34B0E974" w14:textId="77777777" w:rsidR="00D1236B" w:rsidRPr="00B3369E" w:rsidRDefault="00D1236B" w:rsidP="00E26A53">
            <w:pPr>
              <w:jc w:val="center"/>
              <w:rPr>
                <w:rFonts w:ascii="Times New Roman" w:hAnsi="Times New Roman" w:cs="Times New Roman"/>
                <w:sz w:val="18"/>
                <w:szCs w:val="16"/>
              </w:rPr>
            </w:pPr>
            <w:r w:rsidRPr="00B3369E">
              <w:rPr>
                <w:rFonts w:ascii="Times New Roman" w:hAnsi="Times New Roman" w:cs="Times New Roman"/>
                <w:sz w:val="18"/>
                <w:szCs w:val="16"/>
              </w:rPr>
              <w:t xml:space="preserve">  TOTAL</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1F8DD16" w14:textId="1B48D669" w:rsidR="00D1236B" w:rsidRPr="00B3369E" w:rsidRDefault="00FE0150"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72</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000</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43465595" w14:textId="47CDF419" w:rsidR="00D1236B" w:rsidRPr="00B3369E" w:rsidRDefault="00FE0150" w:rsidP="00E26A53">
            <w:pPr>
              <w:jc w:val="center"/>
              <w:rPr>
                <w:rFonts w:ascii="Times New Roman" w:hAnsi="Times New Roman" w:cs="Times New Roman"/>
                <w:b/>
                <w:bCs/>
                <w:sz w:val="18"/>
                <w:szCs w:val="16"/>
              </w:rPr>
            </w:pPr>
            <w:r w:rsidRPr="00B3369E">
              <w:rPr>
                <w:rFonts w:ascii="Times New Roman" w:hAnsi="Times New Roman" w:cs="Times New Roman"/>
                <w:b/>
                <w:bCs/>
                <w:sz w:val="18"/>
                <w:szCs w:val="16"/>
              </w:rPr>
              <w:t>18</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900</w:t>
            </w:r>
            <w:r w:rsidR="00D1236B" w:rsidRPr="00B3369E">
              <w:rPr>
                <w:rFonts w:ascii="Times New Roman" w:hAnsi="Times New Roman" w:cs="Times New Roman"/>
                <w:b/>
                <w:bCs/>
                <w:sz w:val="18"/>
                <w:szCs w:val="16"/>
              </w:rPr>
              <w:t>,</w:t>
            </w:r>
            <w:r w:rsidRPr="00B3369E">
              <w:rPr>
                <w:rFonts w:ascii="Times New Roman" w:hAnsi="Times New Roman" w:cs="Times New Roman"/>
                <w:b/>
                <w:bCs/>
                <w:sz w:val="18"/>
                <w:szCs w:val="16"/>
              </w:rPr>
              <w:t>00</w:t>
            </w:r>
          </w:p>
        </w:tc>
      </w:tr>
    </w:tbl>
    <w:p w14:paraId="30CA6A78" w14:textId="60633A5C" w:rsidR="00D1236B" w:rsidRPr="00C8275B" w:rsidRDefault="00D1236B" w:rsidP="00934221">
      <w:pPr>
        <w:shd w:val="clear" w:color="auto" w:fill="FFFFFF"/>
        <w:ind w:firstLine="709"/>
        <w:jc w:val="both"/>
        <w:rPr>
          <w:rFonts w:ascii="Times New Roman" w:hAnsi="Times New Roman" w:cs="Times New Roman"/>
          <w:b/>
          <w:sz w:val="22"/>
          <w:szCs w:val="22"/>
          <w:lang w:val="es-ES_tradnl" w:eastAsia="es-ES_tradnl"/>
        </w:rPr>
      </w:pPr>
    </w:p>
    <w:p w14:paraId="3C64FB72" w14:textId="70A6F961" w:rsidR="00F74D69" w:rsidRDefault="00F74D69"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19401A19" w14:textId="77777777" w:rsidR="00D1236B" w:rsidRPr="00C8275B" w:rsidRDefault="00D1236B" w:rsidP="00934221">
      <w:pPr>
        <w:shd w:val="clear" w:color="auto" w:fill="FFFFFF"/>
        <w:ind w:firstLine="709"/>
        <w:jc w:val="both"/>
        <w:rPr>
          <w:rFonts w:ascii="Times New Roman" w:hAnsi="Times New Roman" w:cs="Times New Roman"/>
          <w:b/>
          <w:color w:val="0000FF"/>
          <w:sz w:val="22"/>
          <w:szCs w:val="22"/>
          <w:lang w:val="es-ES_tradnl" w:eastAsia="es-ES_tradnl"/>
        </w:rPr>
      </w:pPr>
    </w:p>
    <w:p w14:paraId="3BEBCD9F" w14:textId="1EE8ADD3" w:rsidR="006C0067" w:rsidRPr="00C8275B" w:rsidRDefault="008513D2" w:rsidP="00934221">
      <w:pPr>
        <w:shd w:val="clear" w:color="auto" w:fill="FFFFFF"/>
        <w:ind w:firstLine="709"/>
        <w:jc w:val="both"/>
        <w:rPr>
          <w:rFonts w:ascii="Times New Roman" w:hAnsi="Times New Roman" w:cs="Times New Roman"/>
          <w:b/>
          <w:sz w:val="22"/>
          <w:szCs w:val="22"/>
        </w:rPr>
      </w:pPr>
      <w:r w:rsidRPr="00C8275B">
        <w:rPr>
          <w:rFonts w:ascii="Times New Roman" w:hAnsi="Times New Roman" w:cs="Times New Roman"/>
          <w:b/>
          <w:sz w:val="22"/>
          <w:szCs w:val="22"/>
          <w:lang w:val="es-ES_tradnl" w:eastAsia="es-ES_tradnl"/>
        </w:rPr>
        <w:t>8</w:t>
      </w:r>
      <w:r w:rsidR="006C0067" w:rsidRPr="00C8275B">
        <w:rPr>
          <w:rFonts w:ascii="Times New Roman" w:hAnsi="Times New Roman" w:cs="Times New Roman"/>
          <w:b/>
          <w:sz w:val="22"/>
          <w:szCs w:val="22"/>
          <w:lang w:val="es-ES_tradnl" w:eastAsia="es-ES_tradnl"/>
        </w:rPr>
        <w:t xml:space="preserve">. </w:t>
      </w:r>
      <w:r w:rsidR="000576A2" w:rsidRPr="00C8275B">
        <w:rPr>
          <w:rFonts w:ascii="Times New Roman" w:hAnsi="Times New Roman" w:cs="Times New Roman"/>
          <w:b/>
          <w:sz w:val="22"/>
          <w:szCs w:val="22"/>
          <w:u w:val="double"/>
          <w:lang w:val="es-ES_tradnl" w:eastAsia="es-ES_tradnl"/>
        </w:rPr>
        <w:t xml:space="preserve">INSTRUMENTOS </w:t>
      </w:r>
      <w:r w:rsidR="006C0067" w:rsidRPr="00C8275B">
        <w:rPr>
          <w:rFonts w:ascii="Times New Roman" w:hAnsi="Times New Roman" w:cs="Times New Roman"/>
          <w:b/>
          <w:sz w:val="22"/>
          <w:szCs w:val="22"/>
          <w:u w:val="double"/>
          <w:lang w:val="es-ES_tradnl" w:eastAsia="es-ES_tradnl"/>
        </w:rPr>
        <w:t>FINANCIEROS</w:t>
      </w:r>
    </w:p>
    <w:p w14:paraId="603C22A1" w14:textId="77777777" w:rsidR="006C0067" w:rsidRPr="00C8275B" w:rsidRDefault="006C0067" w:rsidP="006C0067">
      <w:pPr>
        <w:shd w:val="clear" w:color="auto" w:fill="FFFFFF"/>
        <w:ind w:left="720" w:firstLine="720"/>
        <w:jc w:val="both"/>
        <w:rPr>
          <w:rFonts w:ascii="Times New Roman" w:hAnsi="Times New Roman" w:cs="Times New Roman"/>
          <w:spacing w:val="-2"/>
          <w:sz w:val="22"/>
          <w:szCs w:val="22"/>
          <w:lang w:val="es-ES_tradnl" w:eastAsia="es-ES_tradnl"/>
        </w:rPr>
      </w:pPr>
    </w:p>
    <w:p w14:paraId="4F8E7B4B" w14:textId="77777777" w:rsidR="00486703" w:rsidRDefault="00486703"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7E095A78" w14:textId="5B365CAF"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A) ACTIVOS FINANCIEROS</w:t>
      </w:r>
    </w:p>
    <w:p w14:paraId="47E0A195" w14:textId="77777777" w:rsidR="001F5027" w:rsidRPr="00C8275B" w:rsidRDefault="001F5027" w:rsidP="006C0067">
      <w:pPr>
        <w:shd w:val="clear" w:color="auto" w:fill="FFFFFF"/>
        <w:ind w:left="720" w:firstLine="720"/>
        <w:jc w:val="both"/>
        <w:rPr>
          <w:rFonts w:ascii="Times New Roman" w:hAnsi="Times New Roman" w:cs="Times New Roman"/>
          <w:spacing w:val="-2"/>
          <w:sz w:val="22"/>
          <w:szCs w:val="22"/>
          <w:lang w:val="es-ES_tradnl" w:eastAsia="es-ES_tradnl"/>
        </w:rPr>
      </w:pPr>
    </w:p>
    <w:p w14:paraId="71BD191C" w14:textId="77777777" w:rsidR="00486703" w:rsidRDefault="00486703" w:rsidP="009C4E0D">
      <w:pPr>
        <w:shd w:val="clear" w:color="auto" w:fill="FFFFFF"/>
        <w:ind w:left="720"/>
        <w:jc w:val="both"/>
        <w:rPr>
          <w:rFonts w:ascii="Times New Roman" w:hAnsi="Times New Roman" w:cs="Times New Roman"/>
          <w:b/>
          <w:spacing w:val="-2"/>
          <w:sz w:val="22"/>
          <w:szCs w:val="22"/>
          <w:lang w:val="es-ES_tradnl" w:eastAsia="es-ES_tradnl"/>
        </w:rPr>
      </w:pPr>
    </w:p>
    <w:p w14:paraId="0FA3B1DD" w14:textId="281CBE4B" w:rsidR="009C4E0D" w:rsidRPr="00C8275B" w:rsidRDefault="00233AE0" w:rsidP="009C4E0D">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b/>
          <w:spacing w:val="-2"/>
          <w:sz w:val="22"/>
          <w:szCs w:val="22"/>
          <w:lang w:val="es-ES_tradnl" w:eastAsia="es-ES_tradnl"/>
        </w:rPr>
        <w:t xml:space="preserve">A.1. </w:t>
      </w:r>
      <w:r w:rsidR="009C4E0D" w:rsidRPr="00C8275B">
        <w:rPr>
          <w:rFonts w:ascii="Times New Roman" w:hAnsi="Times New Roman" w:cs="Times New Roman"/>
          <w:spacing w:val="-2"/>
          <w:sz w:val="22"/>
          <w:szCs w:val="22"/>
          <w:lang w:val="es-ES_tradnl" w:eastAsia="es-ES_tradnl"/>
        </w:rPr>
        <w:t xml:space="preserve">No existen activos financieros a largo plazo. La composición por categorías de los activos financieros a corto plazo es </w:t>
      </w:r>
      <w:r w:rsidR="009C4E0D" w:rsidRPr="00C8275B">
        <w:rPr>
          <w:rFonts w:ascii="Times New Roman" w:hAnsi="Times New Roman" w:cs="Times New Roman"/>
          <w:sz w:val="22"/>
          <w:szCs w:val="22"/>
          <w:lang w:val="es-ES_tradnl" w:eastAsia="es-ES_tradnl"/>
        </w:rPr>
        <w:t>la siguiente:</w:t>
      </w:r>
    </w:p>
    <w:tbl>
      <w:tblPr>
        <w:tblpPr w:leftFromText="141" w:rightFromText="141" w:vertAnchor="text" w:horzAnchor="page" w:tblpX="1851" w:tblpY="451"/>
        <w:tblW w:w="4722"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91"/>
        <w:gridCol w:w="711"/>
        <w:gridCol w:w="720"/>
        <w:gridCol w:w="722"/>
        <w:gridCol w:w="686"/>
        <w:gridCol w:w="1085"/>
        <w:gridCol w:w="1085"/>
        <w:gridCol w:w="1085"/>
        <w:gridCol w:w="1085"/>
      </w:tblGrid>
      <w:tr w:rsidR="001F597F" w:rsidRPr="00C8275B" w14:paraId="6D2E1846" w14:textId="77777777" w:rsidTr="00EC65F4">
        <w:trPr>
          <w:trHeight w:val="297"/>
        </w:trPr>
        <w:tc>
          <w:tcPr>
            <w:tcW w:w="1153" w:type="pct"/>
            <w:vMerge w:val="restart"/>
            <w:shd w:val="clear" w:color="auto" w:fill="auto"/>
            <w:noWrap/>
            <w:vAlign w:val="center"/>
            <w:hideMark/>
          </w:tcPr>
          <w:p w14:paraId="6E93E7A5" w14:textId="77777777" w:rsidR="001F597F" w:rsidRPr="001F597F" w:rsidRDefault="001F597F" w:rsidP="00EC65F4">
            <w:pPr>
              <w:widowControl/>
              <w:autoSpaceDE/>
              <w:autoSpaceDN/>
              <w:adjustRightInd/>
              <w:jc w:val="center"/>
              <w:rPr>
                <w:rFonts w:ascii="Times New Roman" w:hAnsi="Times New Roman" w:cs="Times New Roman"/>
                <w:b/>
                <w:bCs/>
                <w:sz w:val="18"/>
                <w:szCs w:val="18"/>
              </w:rPr>
            </w:pPr>
            <w:r w:rsidRPr="001F597F">
              <w:rPr>
                <w:rFonts w:ascii="Times New Roman" w:hAnsi="Times New Roman" w:cs="Times New Roman"/>
                <w:b/>
                <w:bCs/>
                <w:sz w:val="18"/>
                <w:szCs w:val="18"/>
              </w:rPr>
              <w:t>CATEGORÍAS \ CLASES</w:t>
            </w:r>
          </w:p>
        </w:tc>
        <w:tc>
          <w:tcPr>
            <w:tcW w:w="3847" w:type="pct"/>
            <w:gridSpan w:val="8"/>
            <w:shd w:val="clear" w:color="auto" w:fill="auto"/>
            <w:vAlign w:val="center"/>
            <w:hideMark/>
          </w:tcPr>
          <w:p w14:paraId="3B2A9F4D"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CORTO PLAZO</w:t>
            </w:r>
          </w:p>
        </w:tc>
      </w:tr>
      <w:tr w:rsidR="00DA29DD" w:rsidRPr="00C8275B" w14:paraId="79343497" w14:textId="77777777" w:rsidTr="00EC65F4">
        <w:trPr>
          <w:trHeight w:val="742"/>
        </w:trPr>
        <w:tc>
          <w:tcPr>
            <w:tcW w:w="1153" w:type="pct"/>
            <w:vMerge/>
            <w:vAlign w:val="center"/>
            <w:hideMark/>
          </w:tcPr>
          <w:p w14:paraId="1C662453" w14:textId="77777777" w:rsidR="001F597F" w:rsidRPr="001F597F" w:rsidRDefault="001F597F" w:rsidP="00EC65F4">
            <w:pPr>
              <w:widowControl/>
              <w:autoSpaceDE/>
              <w:autoSpaceDN/>
              <w:adjustRightInd/>
              <w:rPr>
                <w:rFonts w:ascii="Times New Roman" w:hAnsi="Times New Roman" w:cs="Times New Roman"/>
                <w:b/>
                <w:bCs/>
                <w:sz w:val="18"/>
                <w:szCs w:val="18"/>
              </w:rPr>
            </w:pPr>
          </w:p>
        </w:tc>
        <w:tc>
          <w:tcPr>
            <w:tcW w:w="783" w:type="pct"/>
            <w:gridSpan w:val="2"/>
            <w:shd w:val="clear" w:color="auto" w:fill="auto"/>
            <w:vAlign w:val="center"/>
            <w:hideMark/>
          </w:tcPr>
          <w:p w14:paraId="158C5767"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Instrumentos de patrimonio</w:t>
            </w:r>
          </w:p>
        </w:tc>
        <w:tc>
          <w:tcPr>
            <w:tcW w:w="770" w:type="pct"/>
            <w:gridSpan w:val="2"/>
            <w:shd w:val="clear" w:color="auto" w:fill="auto"/>
            <w:vAlign w:val="center"/>
            <w:hideMark/>
          </w:tcPr>
          <w:p w14:paraId="4401B653"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Valores representativos de deuda</w:t>
            </w:r>
          </w:p>
        </w:tc>
        <w:tc>
          <w:tcPr>
            <w:tcW w:w="1152" w:type="pct"/>
            <w:gridSpan w:val="2"/>
            <w:shd w:val="clear" w:color="auto" w:fill="auto"/>
            <w:vAlign w:val="center"/>
            <w:hideMark/>
          </w:tcPr>
          <w:p w14:paraId="10BC78EE"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Créditos Derivados Otros</w:t>
            </w:r>
          </w:p>
        </w:tc>
        <w:tc>
          <w:tcPr>
            <w:tcW w:w="1142" w:type="pct"/>
            <w:gridSpan w:val="2"/>
            <w:shd w:val="clear" w:color="auto" w:fill="auto"/>
            <w:noWrap/>
            <w:vAlign w:val="center"/>
            <w:hideMark/>
          </w:tcPr>
          <w:p w14:paraId="2977EFB8"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TOTAL</w:t>
            </w:r>
          </w:p>
        </w:tc>
      </w:tr>
      <w:tr w:rsidR="00EC65F4" w:rsidRPr="00C8275B" w14:paraId="1B79BD40" w14:textId="77777777" w:rsidTr="00EC65F4">
        <w:trPr>
          <w:trHeight w:val="297"/>
        </w:trPr>
        <w:tc>
          <w:tcPr>
            <w:tcW w:w="1153" w:type="pct"/>
            <w:vMerge/>
            <w:vAlign w:val="center"/>
            <w:hideMark/>
          </w:tcPr>
          <w:p w14:paraId="62D28162" w14:textId="77777777" w:rsidR="001F597F" w:rsidRPr="001F597F" w:rsidRDefault="001F597F" w:rsidP="00EC65F4">
            <w:pPr>
              <w:widowControl/>
              <w:autoSpaceDE/>
              <w:autoSpaceDN/>
              <w:adjustRightInd/>
              <w:rPr>
                <w:rFonts w:ascii="Times New Roman" w:hAnsi="Times New Roman" w:cs="Times New Roman"/>
                <w:b/>
                <w:bCs/>
                <w:sz w:val="18"/>
                <w:szCs w:val="18"/>
              </w:rPr>
            </w:pPr>
          </w:p>
        </w:tc>
        <w:tc>
          <w:tcPr>
            <w:tcW w:w="389" w:type="pct"/>
            <w:shd w:val="clear" w:color="auto" w:fill="auto"/>
            <w:vAlign w:val="center"/>
            <w:hideMark/>
          </w:tcPr>
          <w:p w14:paraId="40BA889C"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394" w:type="pct"/>
            <w:shd w:val="clear" w:color="auto" w:fill="auto"/>
            <w:vAlign w:val="center"/>
            <w:hideMark/>
          </w:tcPr>
          <w:p w14:paraId="4F1793C0"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395" w:type="pct"/>
            <w:shd w:val="clear" w:color="auto" w:fill="auto"/>
            <w:vAlign w:val="center"/>
            <w:hideMark/>
          </w:tcPr>
          <w:p w14:paraId="568C06BD"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375" w:type="pct"/>
            <w:shd w:val="clear" w:color="auto" w:fill="auto"/>
            <w:vAlign w:val="center"/>
            <w:hideMark/>
          </w:tcPr>
          <w:p w14:paraId="54EB6045"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581" w:type="pct"/>
            <w:shd w:val="clear" w:color="auto" w:fill="auto"/>
            <w:vAlign w:val="center"/>
            <w:hideMark/>
          </w:tcPr>
          <w:p w14:paraId="64D90836"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571" w:type="pct"/>
            <w:shd w:val="clear" w:color="auto" w:fill="auto"/>
            <w:vAlign w:val="center"/>
            <w:hideMark/>
          </w:tcPr>
          <w:p w14:paraId="751CF4F4"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c>
          <w:tcPr>
            <w:tcW w:w="571" w:type="pct"/>
            <w:shd w:val="clear" w:color="auto" w:fill="auto"/>
            <w:vAlign w:val="center"/>
            <w:hideMark/>
          </w:tcPr>
          <w:p w14:paraId="72EE1FB6"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2022</w:t>
            </w:r>
          </w:p>
        </w:tc>
        <w:tc>
          <w:tcPr>
            <w:tcW w:w="571" w:type="pct"/>
            <w:shd w:val="clear" w:color="auto" w:fill="auto"/>
            <w:vAlign w:val="center"/>
            <w:hideMark/>
          </w:tcPr>
          <w:p w14:paraId="344378B0"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2021</w:t>
            </w:r>
          </w:p>
        </w:tc>
      </w:tr>
      <w:tr w:rsidR="00EC65F4" w:rsidRPr="00C8275B" w14:paraId="1DECF6C7" w14:textId="77777777" w:rsidTr="00EC65F4">
        <w:trPr>
          <w:trHeight w:val="846"/>
        </w:trPr>
        <w:tc>
          <w:tcPr>
            <w:tcW w:w="1153" w:type="pct"/>
            <w:shd w:val="clear" w:color="auto" w:fill="auto"/>
            <w:vAlign w:val="center"/>
            <w:hideMark/>
          </w:tcPr>
          <w:p w14:paraId="285DF467"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a valor razonable con cambios en pérdidas y ganancias</w:t>
            </w:r>
          </w:p>
        </w:tc>
        <w:tc>
          <w:tcPr>
            <w:tcW w:w="389" w:type="pct"/>
            <w:shd w:val="clear" w:color="auto" w:fill="auto"/>
            <w:vAlign w:val="center"/>
            <w:hideMark/>
          </w:tcPr>
          <w:p w14:paraId="3775D71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3EC8F4E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3E69200F"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1FFB1D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29578A5C"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vAlign w:val="center"/>
            <w:hideMark/>
          </w:tcPr>
          <w:p w14:paraId="1E63B6CD"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noWrap/>
            <w:vAlign w:val="center"/>
            <w:hideMark/>
          </w:tcPr>
          <w:p w14:paraId="7268A5F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33B41095"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r>
      <w:tr w:rsidR="00EC65F4" w:rsidRPr="00C8275B" w14:paraId="77EB5CD5" w14:textId="77777777" w:rsidTr="00EC65F4">
        <w:trPr>
          <w:trHeight w:val="564"/>
        </w:trPr>
        <w:tc>
          <w:tcPr>
            <w:tcW w:w="1153" w:type="pct"/>
            <w:shd w:val="clear" w:color="auto" w:fill="auto"/>
            <w:vAlign w:val="center"/>
            <w:hideMark/>
          </w:tcPr>
          <w:p w14:paraId="26C3F12F"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coste amortizado</w:t>
            </w:r>
          </w:p>
        </w:tc>
        <w:tc>
          <w:tcPr>
            <w:tcW w:w="389" w:type="pct"/>
            <w:shd w:val="clear" w:color="auto" w:fill="auto"/>
            <w:vAlign w:val="center"/>
            <w:hideMark/>
          </w:tcPr>
          <w:p w14:paraId="46085717"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4901DDFA"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67ADAABE"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0C7C1C95"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106146A4"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3.078.532,90</w:t>
            </w:r>
          </w:p>
        </w:tc>
        <w:tc>
          <w:tcPr>
            <w:tcW w:w="571" w:type="pct"/>
            <w:shd w:val="clear" w:color="auto" w:fill="auto"/>
            <w:vAlign w:val="center"/>
            <w:hideMark/>
          </w:tcPr>
          <w:p w14:paraId="7EDFB221"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1.970.031,47</w:t>
            </w:r>
          </w:p>
        </w:tc>
        <w:tc>
          <w:tcPr>
            <w:tcW w:w="571" w:type="pct"/>
            <w:shd w:val="clear" w:color="auto" w:fill="auto"/>
            <w:noWrap/>
            <w:vAlign w:val="center"/>
            <w:hideMark/>
          </w:tcPr>
          <w:p w14:paraId="66C190CD"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3.078.532,90</w:t>
            </w:r>
          </w:p>
        </w:tc>
        <w:tc>
          <w:tcPr>
            <w:tcW w:w="571" w:type="pct"/>
            <w:shd w:val="clear" w:color="auto" w:fill="auto"/>
            <w:noWrap/>
            <w:vAlign w:val="center"/>
            <w:hideMark/>
          </w:tcPr>
          <w:p w14:paraId="2ADCE935"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1.970.031,47</w:t>
            </w:r>
          </w:p>
        </w:tc>
      </w:tr>
      <w:tr w:rsidR="00EC65F4" w:rsidRPr="00C8275B" w14:paraId="7DD37F11" w14:textId="77777777" w:rsidTr="00EC65F4">
        <w:trPr>
          <w:trHeight w:val="846"/>
        </w:trPr>
        <w:tc>
          <w:tcPr>
            <w:tcW w:w="1153" w:type="pct"/>
            <w:shd w:val="clear" w:color="auto" w:fill="auto"/>
            <w:vAlign w:val="center"/>
            <w:hideMark/>
          </w:tcPr>
          <w:p w14:paraId="1B555BA1"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a valor razonable con cambios en el patrimonio neto</w:t>
            </w:r>
          </w:p>
        </w:tc>
        <w:tc>
          <w:tcPr>
            <w:tcW w:w="389" w:type="pct"/>
            <w:shd w:val="clear" w:color="auto" w:fill="auto"/>
            <w:vAlign w:val="center"/>
            <w:hideMark/>
          </w:tcPr>
          <w:p w14:paraId="34A8F9E5"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518787D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5772AE59"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5978078"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00286A4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vAlign w:val="center"/>
            <w:hideMark/>
          </w:tcPr>
          <w:p w14:paraId="2981710C"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71" w:type="pct"/>
            <w:shd w:val="clear" w:color="auto" w:fill="auto"/>
            <w:noWrap/>
            <w:vAlign w:val="center"/>
            <w:hideMark/>
          </w:tcPr>
          <w:p w14:paraId="65DA91A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0D11C587"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r>
      <w:tr w:rsidR="00EC65F4" w:rsidRPr="00C8275B" w14:paraId="235BB8E6" w14:textId="77777777" w:rsidTr="00EC65F4">
        <w:trPr>
          <w:trHeight w:val="564"/>
        </w:trPr>
        <w:tc>
          <w:tcPr>
            <w:tcW w:w="1153" w:type="pct"/>
            <w:shd w:val="clear" w:color="auto" w:fill="auto"/>
            <w:vAlign w:val="center"/>
            <w:hideMark/>
          </w:tcPr>
          <w:p w14:paraId="35BEA3C4" w14:textId="77777777" w:rsidR="001F597F" w:rsidRPr="001F597F" w:rsidRDefault="001F597F" w:rsidP="00EC65F4">
            <w:pPr>
              <w:widowControl/>
              <w:autoSpaceDE/>
              <w:autoSpaceDN/>
              <w:adjustRightInd/>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Activos financieros a coste</w:t>
            </w:r>
          </w:p>
        </w:tc>
        <w:tc>
          <w:tcPr>
            <w:tcW w:w="389" w:type="pct"/>
            <w:shd w:val="clear" w:color="auto" w:fill="auto"/>
            <w:vAlign w:val="center"/>
            <w:hideMark/>
          </w:tcPr>
          <w:p w14:paraId="6D9D61F4"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4" w:type="pct"/>
            <w:shd w:val="clear" w:color="auto" w:fill="auto"/>
            <w:vAlign w:val="center"/>
            <w:hideMark/>
          </w:tcPr>
          <w:p w14:paraId="49C3BFFB"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95" w:type="pct"/>
            <w:shd w:val="clear" w:color="auto" w:fill="auto"/>
            <w:vAlign w:val="center"/>
            <w:hideMark/>
          </w:tcPr>
          <w:p w14:paraId="75A8E136"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375" w:type="pct"/>
            <w:shd w:val="clear" w:color="auto" w:fill="auto"/>
            <w:vAlign w:val="center"/>
            <w:hideMark/>
          </w:tcPr>
          <w:p w14:paraId="6AD4DD6F" w14:textId="77777777" w:rsidR="001F597F" w:rsidRPr="001F597F" w:rsidRDefault="001F597F" w:rsidP="00EC65F4">
            <w:pPr>
              <w:widowControl/>
              <w:autoSpaceDE/>
              <w:autoSpaceDN/>
              <w:adjustRightInd/>
              <w:rPr>
                <w:rFonts w:ascii="Times New Roman" w:hAnsi="Times New Roman" w:cs="Times New Roman"/>
                <w:color w:val="000000"/>
                <w:sz w:val="18"/>
                <w:szCs w:val="18"/>
              </w:rPr>
            </w:pPr>
            <w:r w:rsidRPr="001F597F">
              <w:rPr>
                <w:rFonts w:ascii="Times New Roman" w:hAnsi="Times New Roman" w:cs="Times New Roman"/>
                <w:color w:val="000000"/>
                <w:sz w:val="18"/>
                <w:szCs w:val="18"/>
              </w:rPr>
              <w:t> </w:t>
            </w:r>
          </w:p>
        </w:tc>
        <w:tc>
          <w:tcPr>
            <w:tcW w:w="581" w:type="pct"/>
            <w:shd w:val="clear" w:color="auto" w:fill="auto"/>
            <w:vAlign w:val="center"/>
            <w:hideMark/>
          </w:tcPr>
          <w:p w14:paraId="033FDF3E" w14:textId="393D6B4B" w:rsidR="001F597F" w:rsidRPr="001F597F" w:rsidRDefault="001F597F" w:rsidP="00EC65F4">
            <w:pPr>
              <w:widowControl/>
              <w:autoSpaceDE/>
              <w:autoSpaceDN/>
              <w:adjustRightInd/>
              <w:jc w:val="right"/>
              <w:rPr>
                <w:rFonts w:ascii="Times New Roman" w:hAnsi="Times New Roman" w:cs="Times New Roman"/>
                <w:color w:val="000000"/>
                <w:sz w:val="18"/>
                <w:szCs w:val="18"/>
              </w:rPr>
            </w:pPr>
          </w:p>
        </w:tc>
        <w:tc>
          <w:tcPr>
            <w:tcW w:w="571" w:type="pct"/>
            <w:shd w:val="clear" w:color="auto" w:fill="auto"/>
            <w:vAlign w:val="center"/>
            <w:hideMark/>
          </w:tcPr>
          <w:p w14:paraId="44640100" w14:textId="77777777" w:rsidR="001F597F" w:rsidRPr="001F597F" w:rsidRDefault="001F597F" w:rsidP="00EC65F4">
            <w:pPr>
              <w:widowControl/>
              <w:autoSpaceDE/>
              <w:autoSpaceDN/>
              <w:adjustRightInd/>
              <w:jc w:val="right"/>
              <w:rPr>
                <w:rFonts w:ascii="Times New Roman" w:hAnsi="Times New Roman" w:cs="Times New Roman"/>
                <w:color w:val="000000"/>
                <w:sz w:val="18"/>
                <w:szCs w:val="18"/>
              </w:rPr>
            </w:pPr>
            <w:r w:rsidRPr="001F597F">
              <w:rPr>
                <w:rFonts w:ascii="Times New Roman" w:hAnsi="Times New Roman" w:cs="Times New Roman"/>
                <w:color w:val="000000"/>
                <w:sz w:val="18"/>
                <w:szCs w:val="18"/>
              </w:rPr>
              <w:t>36.000,00</w:t>
            </w:r>
          </w:p>
        </w:tc>
        <w:tc>
          <w:tcPr>
            <w:tcW w:w="571" w:type="pct"/>
            <w:shd w:val="clear" w:color="auto" w:fill="auto"/>
            <w:noWrap/>
            <w:vAlign w:val="center"/>
            <w:hideMark/>
          </w:tcPr>
          <w:p w14:paraId="4B872EAC"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71" w:type="pct"/>
            <w:shd w:val="clear" w:color="auto" w:fill="auto"/>
            <w:noWrap/>
            <w:vAlign w:val="center"/>
            <w:hideMark/>
          </w:tcPr>
          <w:p w14:paraId="1C166CE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36.000,00</w:t>
            </w:r>
          </w:p>
        </w:tc>
      </w:tr>
      <w:tr w:rsidR="00EC65F4" w:rsidRPr="00C8275B" w14:paraId="19F222D9" w14:textId="77777777" w:rsidTr="00EC65F4">
        <w:trPr>
          <w:trHeight w:val="297"/>
        </w:trPr>
        <w:tc>
          <w:tcPr>
            <w:tcW w:w="1153" w:type="pct"/>
            <w:shd w:val="clear" w:color="auto" w:fill="auto"/>
            <w:vAlign w:val="center"/>
            <w:hideMark/>
          </w:tcPr>
          <w:p w14:paraId="10D11C22" w14:textId="77777777"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TOTAL</w:t>
            </w:r>
          </w:p>
        </w:tc>
        <w:tc>
          <w:tcPr>
            <w:tcW w:w="389" w:type="pct"/>
            <w:shd w:val="clear" w:color="auto" w:fill="auto"/>
            <w:vAlign w:val="center"/>
            <w:hideMark/>
          </w:tcPr>
          <w:p w14:paraId="41311041"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94" w:type="pct"/>
            <w:shd w:val="clear" w:color="auto" w:fill="auto"/>
            <w:vAlign w:val="center"/>
            <w:hideMark/>
          </w:tcPr>
          <w:p w14:paraId="1249678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95" w:type="pct"/>
            <w:shd w:val="clear" w:color="auto" w:fill="auto"/>
            <w:vAlign w:val="center"/>
            <w:hideMark/>
          </w:tcPr>
          <w:p w14:paraId="25157EAF"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375" w:type="pct"/>
            <w:shd w:val="clear" w:color="auto" w:fill="auto"/>
            <w:vAlign w:val="center"/>
            <w:hideMark/>
          </w:tcPr>
          <w:p w14:paraId="44A9D4D8"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0,00</w:t>
            </w:r>
          </w:p>
        </w:tc>
        <w:tc>
          <w:tcPr>
            <w:tcW w:w="581" w:type="pct"/>
            <w:shd w:val="clear" w:color="auto" w:fill="auto"/>
            <w:vAlign w:val="center"/>
            <w:hideMark/>
          </w:tcPr>
          <w:p w14:paraId="42573112" w14:textId="068863AA" w:rsidR="001F597F" w:rsidRPr="001F597F" w:rsidRDefault="001F597F" w:rsidP="00EC65F4">
            <w:pPr>
              <w:widowControl/>
              <w:autoSpaceDE/>
              <w:autoSpaceDN/>
              <w:adjustRightInd/>
              <w:jc w:val="center"/>
              <w:rPr>
                <w:rFonts w:ascii="Times New Roman" w:hAnsi="Times New Roman" w:cs="Times New Roman"/>
                <w:b/>
                <w:bCs/>
                <w:color w:val="000000"/>
                <w:sz w:val="18"/>
                <w:szCs w:val="18"/>
              </w:rPr>
            </w:pPr>
            <w:r w:rsidRPr="00C8275B">
              <w:rPr>
                <w:rFonts w:ascii="Times New Roman" w:hAnsi="Times New Roman" w:cs="Times New Roman"/>
                <w:b/>
                <w:bCs/>
                <w:color w:val="000000"/>
                <w:sz w:val="18"/>
                <w:szCs w:val="18"/>
              </w:rPr>
              <w:t>3.078.532,90</w:t>
            </w:r>
          </w:p>
        </w:tc>
        <w:tc>
          <w:tcPr>
            <w:tcW w:w="571" w:type="pct"/>
            <w:shd w:val="clear" w:color="auto" w:fill="auto"/>
            <w:vAlign w:val="center"/>
            <w:hideMark/>
          </w:tcPr>
          <w:p w14:paraId="260247C6"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2.006.031,47</w:t>
            </w:r>
          </w:p>
        </w:tc>
        <w:tc>
          <w:tcPr>
            <w:tcW w:w="571" w:type="pct"/>
            <w:shd w:val="clear" w:color="auto" w:fill="auto"/>
            <w:vAlign w:val="center"/>
            <w:hideMark/>
          </w:tcPr>
          <w:p w14:paraId="40882E4D"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3.078.532,90</w:t>
            </w:r>
          </w:p>
        </w:tc>
        <w:tc>
          <w:tcPr>
            <w:tcW w:w="571" w:type="pct"/>
            <w:shd w:val="clear" w:color="auto" w:fill="auto"/>
            <w:vAlign w:val="center"/>
            <w:hideMark/>
          </w:tcPr>
          <w:p w14:paraId="436522BA" w14:textId="77777777" w:rsidR="001F597F" w:rsidRPr="001F597F" w:rsidRDefault="001F597F" w:rsidP="00EC65F4">
            <w:pPr>
              <w:widowControl/>
              <w:autoSpaceDE/>
              <w:autoSpaceDN/>
              <w:adjustRightInd/>
              <w:jc w:val="right"/>
              <w:rPr>
                <w:rFonts w:ascii="Times New Roman" w:hAnsi="Times New Roman" w:cs="Times New Roman"/>
                <w:b/>
                <w:bCs/>
                <w:color w:val="000000"/>
                <w:sz w:val="18"/>
                <w:szCs w:val="18"/>
              </w:rPr>
            </w:pPr>
            <w:r w:rsidRPr="001F597F">
              <w:rPr>
                <w:rFonts w:ascii="Times New Roman" w:hAnsi="Times New Roman" w:cs="Times New Roman"/>
                <w:b/>
                <w:bCs/>
                <w:color w:val="000000"/>
                <w:sz w:val="18"/>
                <w:szCs w:val="18"/>
              </w:rPr>
              <w:t>2.006.031,47</w:t>
            </w:r>
          </w:p>
        </w:tc>
      </w:tr>
    </w:tbl>
    <w:p w14:paraId="092D283A" w14:textId="246CF2C4" w:rsidR="001F597F" w:rsidRPr="00C8275B" w:rsidRDefault="001F597F" w:rsidP="009C4E0D">
      <w:pPr>
        <w:shd w:val="clear" w:color="auto" w:fill="FFFFFF"/>
        <w:ind w:left="720"/>
        <w:jc w:val="both"/>
        <w:rPr>
          <w:rFonts w:ascii="Times New Roman" w:hAnsi="Times New Roman" w:cs="Times New Roman"/>
          <w:sz w:val="22"/>
          <w:szCs w:val="22"/>
          <w:lang w:val="es-ES_tradnl" w:eastAsia="es-ES_tradnl"/>
        </w:rPr>
      </w:pPr>
    </w:p>
    <w:p w14:paraId="02AA1DCD" w14:textId="5345F7B8" w:rsidR="001F597F" w:rsidRPr="00C8275B" w:rsidRDefault="001F597F" w:rsidP="009C4E0D">
      <w:pPr>
        <w:shd w:val="clear" w:color="auto" w:fill="FFFFFF"/>
        <w:ind w:left="720"/>
        <w:jc w:val="both"/>
        <w:rPr>
          <w:rFonts w:ascii="Times New Roman" w:hAnsi="Times New Roman" w:cs="Times New Roman"/>
          <w:sz w:val="22"/>
          <w:szCs w:val="22"/>
          <w:lang w:val="es-ES_tradnl" w:eastAsia="es-ES_tradnl"/>
        </w:rPr>
      </w:pPr>
    </w:p>
    <w:p w14:paraId="3E3D3B2B" w14:textId="77777777" w:rsidR="001F597F" w:rsidRPr="00C8275B" w:rsidRDefault="001F597F" w:rsidP="009C4E0D">
      <w:pPr>
        <w:shd w:val="clear" w:color="auto" w:fill="FFFFFF"/>
        <w:ind w:left="720"/>
        <w:jc w:val="both"/>
        <w:rPr>
          <w:rFonts w:ascii="Times New Roman" w:hAnsi="Times New Roman" w:cs="Times New Roman"/>
          <w:sz w:val="22"/>
          <w:szCs w:val="22"/>
          <w:lang w:val="es-ES_tradnl" w:eastAsia="es-ES_tradnl"/>
        </w:rPr>
      </w:pPr>
    </w:p>
    <w:p w14:paraId="39E06CEE" w14:textId="77777777"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22F1FEEC" w14:textId="77777777"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p>
    <w:p w14:paraId="3D65CCF0" w14:textId="77777777"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p>
    <w:p w14:paraId="4FCF36DC"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36CBD8DB"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6F4C09B5"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25DA093E"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1E494087"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7673475F"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1308530F"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2D45F4A8"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57C277E7"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49409249"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1AAA42E7"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65018D99"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708917C7"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0E7B3E44"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795B2F20" w14:textId="77777777" w:rsidR="009A6F4A" w:rsidRDefault="009A6F4A" w:rsidP="00EC65F4">
      <w:pPr>
        <w:shd w:val="clear" w:color="auto" w:fill="FFFFFF"/>
        <w:ind w:left="720"/>
        <w:jc w:val="both"/>
        <w:rPr>
          <w:rFonts w:ascii="Times New Roman" w:hAnsi="Times New Roman" w:cs="Times New Roman"/>
          <w:sz w:val="22"/>
          <w:szCs w:val="22"/>
          <w:lang w:val="es-ES_tradnl" w:eastAsia="es-ES_tradnl"/>
        </w:rPr>
      </w:pPr>
    </w:p>
    <w:p w14:paraId="2A36202F" w14:textId="29108215" w:rsidR="00EC65F4" w:rsidRPr="00C8275B" w:rsidRDefault="00EC65F4" w:rsidP="00EC65F4">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No existen correcciones valorativas originadas por el riesgo de crédito.</w:t>
      </w:r>
    </w:p>
    <w:p w14:paraId="51AD571F" w14:textId="77777777" w:rsidR="00344BCB" w:rsidRPr="00C8275B" w:rsidRDefault="00344BCB" w:rsidP="00344BCB">
      <w:pPr>
        <w:pStyle w:val="Default"/>
        <w:ind w:left="426" w:hanging="426"/>
        <w:jc w:val="both"/>
        <w:rPr>
          <w:rFonts w:ascii="Times New Roman" w:hAnsi="Times New Roman" w:cs="Times New Roman"/>
          <w:color w:val="auto"/>
          <w:sz w:val="22"/>
          <w:szCs w:val="22"/>
        </w:rPr>
      </w:pPr>
    </w:p>
    <w:p w14:paraId="0E9FB505" w14:textId="77777777" w:rsidR="00486703" w:rsidRDefault="00486703" w:rsidP="00344BCB">
      <w:pPr>
        <w:shd w:val="clear" w:color="auto" w:fill="FFFFFF"/>
        <w:ind w:left="720"/>
        <w:jc w:val="both"/>
        <w:rPr>
          <w:rFonts w:ascii="Times New Roman" w:hAnsi="Times New Roman" w:cs="Times New Roman"/>
          <w:sz w:val="22"/>
          <w:szCs w:val="22"/>
        </w:rPr>
      </w:pPr>
    </w:p>
    <w:p w14:paraId="01F418FB" w14:textId="7E794D84" w:rsidR="00344BCB" w:rsidRPr="00C8275B" w:rsidRDefault="00344BCB" w:rsidP="00344BCB">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rPr>
        <w:t xml:space="preserve"> </w:t>
      </w:r>
      <w:r w:rsidRPr="00C8275B">
        <w:rPr>
          <w:rFonts w:ascii="Times New Roman" w:hAnsi="Times New Roman" w:cs="Times New Roman"/>
          <w:b/>
          <w:spacing w:val="-2"/>
          <w:sz w:val="22"/>
          <w:szCs w:val="22"/>
          <w:lang w:val="es-ES_tradnl" w:eastAsia="es-ES_tradnl"/>
        </w:rPr>
        <w:t>A.2.</w:t>
      </w:r>
      <w:r w:rsidRPr="00C8275B">
        <w:rPr>
          <w:rFonts w:ascii="Times New Roman" w:hAnsi="Times New Roman" w:cs="Times New Roman"/>
          <w:sz w:val="22"/>
          <w:szCs w:val="22"/>
        </w:rPr>
        <w:t xml:space="preserve"> </w:t>
      </w:r>
      <w:r w:rsidRPr="00C8275B">
        <w:rPr>
          <w:rFonts w:ascii="Times New Roman" w:hAnsi="Times New Roman" w:cs="Times New Roman"/>
          <w:sz w:val="22"/>
          <w:szCs w:val="22"/>
          <w:lang w:val="es-ES_tradnl" w:eastAsia="es-ES_tradnl"/>
        </w:rPr>
        <w:t>El epígrafe “Efectivo y otros activos líquidos equivalentes” del balance de situación incluye la tesorería de la Sociedad. Su desglose es el siguiente:</w:t>
      </w:r>
    </w:p>
    <w:p w14:paraId="0C6F0B0F" w14:textId="77777777" w:rsidR="00344BCB" w:rsidRPr="00C8275B" w:rsidRDefault="00344BCB" w:rsidP="00344BCB">
      <w:pPr>
        <w:shd w:val="clear" w:color="auto" w:fill="FFFFFF"/>
        <w:ind w:left="720"/>
        <w:jc w:val="both"/>
        <w:rPr>
          <w:rFonts w:ascii="Times New Roman" w:hAnsi="Times New Roman" w:cs="Times New Roman"/>
          <w:sz w:val="22"/>
          <w:szCs w:val="22"/>
          <w:lang w:val="es-ES_tradnl" w:eastAsia="es-ES_tradnl"/>
        </w:rPr>
      </w:pPr>
    </w:p>
    <w:tbl>
      <w:tblPr>
        <w:tblW w:w="7432" w:type="dxa"/>
        <w:jc w:val="center"/>
        <w:tblCellMar>
          <w:left w:w="70" w:type="dxa"/>
          <w:right w:w="70" w:type="dxa"/>
        </w:tblCellMar>
        <w:tblLook w:val="04A0" w:firstRow="1" w:lastRow="0" w:firstColumn="1" w:lastColumn="0" w:noHBand="0" w:noVBand="1"/>
      </w:tblPr>
      <w:tblGrid>
        <w:gridCol w:w="3760"/>
        <w:gridCol w:w="2045"/>
        <w:gridCol w:w="1627"/>
      </w:tblGrid>
      <w:tr w:rsidR="00344BCB" w:rsidRPr="00C8275B" w14:paraId="39D9D6A9" w14:textId="77777777" w:rsidTr="00E26A53">
        <w:trPr>
          <w:trHeight w:val="292"/>
          <w:jc w:val="center"/>
        </w:trPr>
        <w:tc>
          <w:tcPr>
            <w:tcW w:w="3760" w:type="dxa"/>
            <w:tcBorders>
              <w:top w:val="single" w:sz="4" w:space="0" w:color="auto"/>
              <w:left w:val="nil"/>
              <w:bottom w:val="single" w:sz="4" w:space="0" w:color="auto"/>
              <w:right w:val="nil"/>
            </w:tcBorders>
            <w:noWrap/>
            <w:vAlign w:val="bottom"/>
            <w:hideMark/>
          </w:tcPr>
          <w:p w14:paraId="1B0808EF" w14:textId="77777777"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 </w:t>
            </w:r>
          </w:p>
        </w:tc>
        <w:tc>
          <w:tcPr>
            <w:tcW w:w="2045" w:type="dxa"/>
            <w:tcBorders>
              <w:top w:val="single" w:sz="4" w:space="0" w:color="auto"/>
              <w:left w:val="nil"/>
              <w:bottom w:val="single" w:sz="4" w:space="0" w:color="auto"/>
              <w:right w:val="nil"/>
            </w:tcBorders>
            <w:noWrap/>
            <w:vAlign w:val="center"/>
            <w:hideMark/>
          </w:tcPr>
          <w:p w14:paraId="1E4B7210" w14:textId="1F3A15F5" w:rsidR="00344BCB" w:rsidRPr="00C8275B" w:rsidRDefault="00344BCB" w:rsidP="00E26A53">
            <w:pPr>
              <w:jc w:val="center"/>
              <w:rPr>
                <w:rFonts w:ascii="Times New Roman" w:hAnsi="Times New Roman" w:cs="Times New Roman"/>
                <w:b/>
                <w:sz w:val="18"/>
              </w:rPr>
            </w:pPr>
            <w:r w:rsidRPr="00C8275B">
              <w:rPr>
                <w:rFonts w:ascii="Times New Roman" w:hAnsi="Times New Roman" w:cs="Times New Roman"/>
                <w:b/>
                <w:sz w:val="18"/>
              </w:rPr>
              <w:t>2022</w:t>
            </w:r>
          </w:p>
        </w:tc>
        <w:tc>
          <w:tcPr>
            <w:tcW w:w="1627" w:type="dxa"/>
            <w:tcBorders>
              <w:top w:val="single" w:sz="4" w:space="0" w:color="auto"/>
              <w:left w:val="nil"/>
              <w:bottom w:val="single" w:sz="4" w:space="0" w:color="auto"/>
              <w:right w:val="nil"/>
            </w:tcBorders>
            <w:noWrap/>
            <w:vAlign w:val="center"/>
            <w:hideMark/>
          </w:tcPr>
          <w:p w14:paraId="4F6391B6" w14:textId="239F1079" w:rsidR="00344BCB" w:rsidRPr="00C8275B" w:rsidRDefault="00344BCB" w:rsidP="00E26A53">
            <w:pPr>
              <w:jc w:val="center"/>
              <w:rPr>
                <w:rFonts w:ascii="Times New Roman" w:hAnsi="Times New Roman" w:cs="Times New Roman"/>
                <w:b/>
                <w:sz w:val="18"/>
              </w:rPr>
            </w:pPr>
            <w:r w:rsidRPr="00C8275B">
              <w:rPr>
                <w:rFonts w:ascii="Times New Roman" w:hAnsi="Times New Roman" w:cs="Times New Roman"/>
                <w:b/>
                <w:sz w:val="18"/>
              </w:rPr>
              <w:t>2021</w:t>
            </w:r>
          </w:p>
        </w:tc>
      </w:tr>
      <w:tr w:rsidR="00344BCB" w:rsidRPr="00C8275B" w14:paraId="29C12FFA" w14:textId="77777777" w:rsidTr="00E26A53">
        <w:trPr>
          <w:trHeight w:val="292"/>
          <w:jc w:val="center"/>
        </w:trPr>
        <w:tc>
          <w:tcPr>
            <w:tcW w:w="3760" w:type="dxa"/>
            <w:tcBorders>
              <w:top w:val="nil"/>
              <w:left w:val="nil"/>
              <w:bottom w:val="nil"/>
              <w:right w:val="nil"/>
            </w:tcBorders>
            <w:shd w:val="clear" w:color="000000" w:fill="FFFFFF"/>
            <w:vAlign w:val="center"/>
            <w:hideMark/>
          </w:tcPr>
          <w:p w14:paraId="750CE3F6" w14:textId="282FA8FD" w:rsidR="00344BCB" w:rsidRPr="00C8275B" w:rsidRDefault="00344BCB" w:rsidP="00E26A53">
            <w:pPr>
              <w:rPr>
                <w:rFonts w:ascii="Times New Roman" w:hAnsi="Times New Roman" w:cs="Times New Roman"/>
                <w:sz w:val="18"/>
              </w:rPr>
            </w:pPr>
            <w:r w:rsidRPr="00C8275B">
              <w:rPr>
                <w:rFonts w:ascii="Times New Roman" w:hAnsi="Times New Roman" w:cs="Times New Roman"/>
                <w:sz w:val="18"/>
              </w:rPr>
              <w:t xml:space="preserve">Caja </w:t>
            </w:r>
            <w:r w:rsidR="00DA29DD" w:rsidRPr="00C8275B">
              <w:rPr>
                <w:rFonts w:ascii="Times New Roman" w:hAnsi="Times New Roman" w:cs="Times New Roman"/>
                <w:sz w:val="18"/>
              </w:rPr>
              <w:t>e</w:t>
            </w:r>
            <w:r w:rsidRPr="00C8275B">
              <w:rPr>
                <w:rFonts w:ascii="Times New Roman" w:hAnsi="Times New Roman" w:cs="Times New Roman"/>
                <w:sz w:val="18"/>
              </w:rPr>
              <w:t xml:space="preserve">uros  </w:t>
            </w:r>
          </w:p>
        </w:tc>
        <w:tc>
          <w:tcPr>
            <w:tcW w:w="2045" w:type="dxa"/>
            <w:tcBorders>
              <w:top w:val="nil"/>
              <w:left w:val="nil"/>
              <w:bottom w:val="nil"/>
              <w:right w:val="nil"/>
            </w:tcBorders>
            <w:shd w:val="clear" w:color="000000" w:fill="FFFFFF"/>
            <w:vAlign w:val="center"/>
            <w:hideMark/>
          </w:tcPr>
          <w:p w14:paraId="0A925B04" w14:textId="4943AA46"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2.076,08</w:t>
            </w:r>
          </w:p>
        </w:tc>
        <w:tc>
          <w:tcPr>
            <w:tcW w:w="1627" w:type="dxa"/>
            <w:tcBorders>
              <w:top w:val="nil"/>
              <w:left w:val="nil"/>
              <w:bottom w:val="nil"/>
              <w:right w:val="nil"/>
            </w:tcBorders>
            <w:shd w:val="clear" w:color="000000" w:fill="FFFFFF"/>
            <w:vAlign w:val="center"/>
            <w:hideMark/>
          </w:tcPr>
          <w:p w14:paraId="2BBA6BAA" w14:textId="5286D0FD"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2.901,05</w:t>
            </w:r>
          </w:p>
        </w:tc>
      </w:tr>
      <w:tr w:rsidR="00344BCB" w:rsidRPr="00C8275B" w14:paraId="02127A70" w14:textId="77777777" w:rsidTr="00E26A53">
        <w:trPr>
          <w:trHeight w:val="292"/>
          <w:jc w:val="center"/>
        </w:trPr>
        <w:tc>
          <w:tcPr>
            <w:tcW w:w="3760" w:type="dxa"/>
            <w:tcBorders>
              <w:top w:val="nil"/>
              <w:left w:val="nil"/>
              <w:bottom w:val="nil"/>
              <w:right w:val="nil"/>
            </w:tcBorders>
            <w:shd w:val="clear" w:color="000000" w:fill="FFFFFF"/>
            <w:vAlign w:val="center"/>
            <w:hideMark/>
          </w:tcPr>
          <w:p w14:paraId="735A4DC7" w14:textId="77777777" w:rsidR="00344BCB" w:rsidRPr="00C8275B" w:rsidRDefault="00344BCB" w:rsidP="00E26A53">
            <w:pPr>
              <w:rPr>
                <w:rFonts w:ascii="Times New Roman" w:hAnsi="Times New Roman" w:cs="Times New Roman"/>
                <w:sz w:val="18"/>
              </w:rPr>
            </w:pPr>
            <w:r w:rsidRPr="00C8275B">
              <w:rPr>
                <w:rFonts w:ascii="Times New Roman" w:hAnsi="Times New Roman" w:cs="Times New Roman"/>
                <w:sz w:val="18"/>
              </w:rPr>
              <w:t xml:space="preserve">Bancos e instituciones de crédito </w:t>
            </w:r>
            <w:proofErr w:type="spellStart"/>
            <w:r w:rsidRPr="00C8275B">
              <w:rPr>
                <w:rFonts w:ascii="Times New Roman" w:hAnsi="Times New Roman" w:cs="Times New Roman"/>
                <w:sz w:val="18"/>
              </w:rPr>
              <w:t>cc</w:t>
            </w:r>
            <w:proofErr w:type="spellEnd"/>
            <w:r w:rsidRPr="00C8275B">
              <w:rPr>
                <w:rFonts w:ascii="Times New Roman" w:hAnsi="Times New Roman" w:cs="Times New Roman"/>
                <w:sz w:val="18"/>
              </w:rPr>
              <w:t xml:space="preserve"> vista</w:t>
            </w:r>
          </w:p>
        </w:tc>
        <w:tc>
          <w:tcPr>
            <w:tcW w:w="2045" w:type="dxa"/>
            <w:tcBorders>
              <w:top w:val="nil"/>
              <w:left w:val="nil"/>
              <w:bottom w:val="nil"/>
              <w:right w:val="nil"/>
            </w:tcBorders>
            <w:shd w:val="clear" w:color="000000" w:fill="FFFFFF"/>
            <w:vAlign w:val="center"/>
            <w:hideMark/>
          </w:tcPr>
          <w:p w14:paraId="6A66C1D4" w14:textId="53D931E7"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1.121.106,68</w:t>
            </w:r>
          </w:p>
        </w:tc>
        <w:tc>
          <w:tcPr>
            <w:tcW w:w="1627" w:type="dxa"/>
            <w:tcBorders>
              <w:top w:val="nil"/>
              <w:left w:val="nil"/>
              <w:bottom w:val="nil"/>
              <w:right w:val="nil"/>
            </w:tcBorders>
            <w:shd w:val="clear" w:color="000000" w:fill="FFFFFF"/>
            <w:vAlign w:val="center"/>
            <w:hideMark/>
          </w:tcPr>
          <w:p w14:paraId="0326C9A5" w14:textId="4CE63984" w:rsidR="00344BCB" w:rsidRPr="00C8275B" w:rsidRDefault="00344BCB" w:rsidP="00E26A53">
            <w:pPr>
              <w:jc w:val="center"/>
              <w:rPr>
                <w:rFonts w:ascii="Times New Roman" w:hAnsi="Times New Roman" w:cs="Times New Roman"/>
                <w:sz w:val="18"/>
              </w:rPr>
            </w:pPr>
            <w:r w:rsidRPr="00C8275B">
              <w:rPr>
                <w:rFonts w:ascii="Times New Roman" w:hAnsi="Times New Roman" w:cs="Times New Roman"/>
                <w:sz w:val="18"/>
              </w:rPr>
              <w:t>374.282,63</w:t>
            </w:r>
          </w:p>
        </w:tc>
      </w:tr>
      <w:tr w:rsidR="00344BCB" w:rsidRPr="00C8275B" w14:paraId="45138D53" w14:textId="77777777" w:rsidTr="00E26A53">
        <w:trPr>
          <w:trHeight w:val="292"/>
          <w:jc w:val="center"/>
        </w:trPr>
        <w:tc>
          <w:tcPr>
            <w:tcW w:w="3760" w:type="dxa"/>
            <w:tcBorders>
              <w:top w:val="single" w:sz="4" w:space="0" w:color="auto"/>
              <w:left w:val="nil"/>
              <w:bottom w:val="single" w:sz="4" w:space="0" w:color="auto"/>
              <w:right w:val="nil"/>
            </w:tcBorders>
            <w:shd w:val="clear" w:color="000000" w:fill="FFFFFF"/>
            <w:vAlign w:val="center"/>
            <w:hideMark/>
          </w:tcPr>
          <w:p w14:paraId="19EFD6B6" w14:textId="77777777" w:rsidR="00344BCB" w:rsidRPr="00C8275B" w:rsidRDefault="00344BCB" w:rsidP="00E26A53">
            <w:pPr>
              <w:rPr>
                <w:rFonts w:ascii="Times New Roman" w:hAnsi="Times New Roman" w:cs="Times New Roman"/>
                <w:b/>
                <w:bCs/>
                <w:sz w:val="18"/>
              </w:rPr>
            </w:pPr>
            <w:r w:rsidRPr="00C8275B">
              <w:rPr>
                <w:rFonts w:ascii="Times New Roman" w:hAnsi="Times New Roman" w:cs="Times New Roman"/>
                <w:b/>
                <w:bCs/>
                <w:sz w:val="18"/>
              </w:rPr>
              <w:t>T O T A L</w:t>
            </w:r>
          </w:p>
        </w:tc>
        <w:tc>
          <w:tcPr>
            <w:tcW w:w="2045" w:type="dxa"/>
            <w:tcBorders>
              <w:top w:val="single" w:sz="4" w:space="0" w:color="auto"/>
              <w:left w:val="nil"/>
              <w:bottom w:val="single" w:sz="4" w:space="0" w:color="auto"/>
              <w:right w:val="nil"/>
            </w:tcBorders>
            <w:shd w:val="clear" w:color="000000" w:fill="FFFFFF"/>
            <w:vAlign w:val="center"/>
            <w:hideMark/>
          </w:tcPr>
          <w:p w14:paraId="210CBB30" w14:textId="4549103F" w:rsidR="00344BCB" w:rsidRPr="00C8275B" w:rsidRDefault="00344BCB" w:rsidP="00E26A53">
            <w:pPr>
              <w:jc w:val="center"/>
              <w:rPr>
                <w:rFonts w:ascii="Times New Roman" w:hAnsi="Times New Roman" w:cs="Times New Roman"/>
                <w:b/>
                <w:bCs/>
                <w:sz w:val="18"/>
              </w:rPr>
            </w:pPr>
            <w:r w:rsidRPr="00C8275B">
              <w:rPr>
                <w:rFonts w:ascii="Times New Roman" w:hAnsi="Times New Roman" w:cs="Times New Roman"/>
                <w:b/>
                <w:bCs/>
                <w:sz w:val="18"/>
              </w:rPr>
              <w:t>1.123.182,76</w:t>
            </w:r>
          </w:p>
        </w:tc>
        <w:tc>
          <w:tcPr>
            <w:tcW w:w="1627" w:type="dxa"/>
            <w:tcBorders>
              <w:top w:val="single" w:sz="4" w:space="0" w:color="auto"/>
              <w:left w:val="nil"/>
              <w:bottom w:val="single" w:sz="4" w:space="0" w:color="auto"/>
              <w:right w:val="nil"/>
            </w:tcBorders>
            <w:shd w:val="clear" w:color="000000" w:fill="FFFFFF"/>
            <w:vAlign w:val="center"/>
            <w:hideMark/>
          </w:tcPr>
          <w:p w14:paraId="0075DFB3" w14:textId="47B1297B" w:rsidR="00344BCB" w:rsidRPr="00C8275B" w:rsidRDefault="00344BCB" w:rsidP="00E26A53">
            <w:pPr>
              <w:jc w:val="center"/>
              <w:rPr>
                <w:rFonts w:ascii="Times New Roman" w:hAnsi="Times New Roman" w:cs="Times New Roman"/>
                <w:b/>
                <w:bCs/>
                <w:sz w:val="18"/>
              </w:rPr>
            </w:pPr>
            <w:r w:rsidRPr="00C8275B">
              <w:rPr>
                <w:rFonts w:ascii="Times New Roman" w:hAnsi="Times New Roman" w:cs="Times New Roman"/>
                <w:b/>
                <w:bCs/>
                <w:sz w:val="18"/>
              </w:rPr>
              <w:t>377.183,68</w:t>
            </w:r>
          </w:p>
        </w:tc>
      </w:tr>
    </w:tbl>
    <w:p w14:paraId="1A2184F1" w14:textId="77777777" w:rsidR="00344BCB" w:rsidRPr="00C8275B" w:rsidRDefault="00344BCB" w:rsidP="00344BCB">
      <w:pPr>
        <w:pStyle w:val="Default"/>
        <w:jc w:val="both"/>
        <w:rPr>
          <w:rFonts w:ascii="Times New Roman" w:hAnsi="Times New Roman" w:cs="Times New Roman"/>
          <w:color w:val="auto"/>
          <w:sz w:val="22"/>
          <w:szCs w:val="22"/>
        </w:rPr>
      </w:pPr>
    </w:p>
    <w:p w14:paraId="5F299ADD" w14:textId="77777777" w:rsidR="00486703" w:rsidRDefault="00486703" w:rsidP="00344BCB">
      <w:pPr>
        <w:shd w:val="clear" w:color="auto" w:fill="FFFFFF"/>
        <w:ind w:left="720"/>
        <w:jc w:val="both"/>
        <w:rPr>
          <w:rFonts w:ascii="Times New Roman" w:hAnsi="Times New Roman" w:cs="Times New Roman"/>
          <w:sz w:val="22"/>
          <w:szCs w:val="22"/>
        </w:rPr>
      </w:pPr>
    </w:p>
    <w:p w14:paraId="12F5E40D" w14:textId="1FF0423B" w:rsidR="00344BCB" w:rsidRPr="00C8275B" w:rsidRDefault="00344BCB" w:rsidP="00344BCB">
      <w:pPr>
        <w:shd w:val="clear" w:color="auto" w:fill="FFFFFF"/>
        <w:ind w:left="720"/>
        <w:jc w:val="both"/>
        <w:rPr>
          <w:rFonts w:ascii="Times New Roman" w:hAnsi="Times New Roman" w:cs="Times New Roman"/>
          <w:sz w:val="22"/>
          <w:szCs w:val="22"/>
        </w:rPr>
      </w:pPr>
      <w:r w:rsidRPr="00C8275B">
        <w:rPr>
          <w:rFonts w:ascii="Times New Roman" w:hAnsi="Times New Roman" w:cs="Times New Roman"/>
          <w:sz w:val="22"/>
          <w:szCs w:val="22"/>
        </w:rPr>
        <w:t>El total de efectivo y otros activos líquidos equivalentes se incluye en el estado de flujos de efectivo.</w:t>
      </w:r>
      <w:r w:rsidR="00FC3082" w:rsidRPr="00C8275B">
        <w:rPr>
          <w:rFonts w:ascii="Times New Roman" w:hAnsi="Times New Roman" w:cs="Times New Roman"/>
          <w:sz w:val="22"/>
          <w:szCs w:val="22"/>
        </w:rPr>
        <w:t xml:space="preserve"> El saldo de Bancos e instituciones de crédito </w:t>
      </w:r>
      <w:proofErr w:type="spellStart"/>
      <w:r w:rsidR="00FC3082" w:rsidRPr="00C8275B">
        <w:rPr>
          <w:rFonts w:ascii="Times New Roman" w:hAnsi="Times New Roman" w:cs="Times New Roman"/>
          <w:sz w:val="22"/>
          <w:szCs w:val="22"/>
        </w:rPr>
        <w:t>cc</w:t>
      </w:r>
      <w:proofErr w:type="spellEnd"/>
      <w:r w:rsidR="00FC3082" w:rsidRPr="00C8275B">
        <w:rPr>
          <w:rFonts w:ascii="Times New Roman" w:hAnsi="Times New Roman" w:cs="Times New Roman"/>
          <w:sz w:val="22"/>
          <w:szCs w:val="22"/>
        </w:rPr>
        <w:t xml:space="preserve"> vista es significativo como consecuencia de la aportación </w:t>
      </w:r>
      <w:r w:rsidR="00772DEA" w:rsidRPr="00C8275B">
        <w:rPr>
          <w:rFonts w:ascii="Times New Roman" w:hAnsi="Times New Roman" w:cs="Times New Roman"/>
          <w:sz w:val="22"/>
          <w:szCs w:val="22"/>
        </w:rPr>
        <w:t xml:space="preserve">económica </w:t>
      </w:r>
      <w:r w:rsidR="008600CF" w:rsidRPr="00C8275B">
        <w:rPr>
          <w:rFonts w:ascii="Times New Roman" w:hAnsi="Times New Roman" w:cs="Times New Roman"/>
          <w:sz w:val="22"/>
          <w:szCs w:val="22"/>
        </w:rPr>
        <w:t>realizada</w:t>
      </w:r>
      <w:r w:rsidR="00772DEA" w:rsidRPr="00C8275B">
        <w:rPr>
          <w:rFonts w:ascii="Times New Roman" w:hAnsi="Times New Roman" w:cs="Times New Roman"/>
          <w:sz w:val="22"/>
          <w:szCs w:val="22"/>
        </w:rPr>
        <w:t xml:space="preserve"> </w:t>
      </w:r>
      <w:r w:rsidR="00FC3082" w:rsidRPr="00C8275B">
        <w:rPr>
          <w:rFonts w:ascii="Times New Roman" w:hAnsi="Times New Roman" w:cs="Times New Roman"/>
          <w:sz w:val="22"/>
          <w:szCs w:val="22"/>
        </w:rPr>
        <w:t>en los últimos días del año 2022 del socio único de la Sociedad.</w:t>
      </w:r>
    </w:p>
    <w:p w14:paraId="71BFC0AC" w14:textId="591A4F26"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615B398C" w14:textId="03BB9A69" w:rsidR="000028F7" w:rsidRPr="00C8275B" w:rsidRDefault="000028F7"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44DE2475" w14:textId="7B4E15A1" w:rsidR="00FC3082" w:rsidRPr="00C8275B" w:rsidRDefault="00FC3082"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644F7AFF" w14:textId="77777777" w:rsidR="001F5027" w:rsidRPr="00C8275B" w:rsidRDefault="001F5027" w:rsidP="001F5027">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B) PASIVOS FINANCIEROS</w:t>
      </w:r>
    </w:p>
    <w:p w14:paraId="582E73DC" w14:textId="77777777" w:rsidR="004067B0" w:rsidRPr="00C8275B" w:rsidRDefault="004067B0" w:rsidP="001F5027">
      <w:pPr>
        <w:shd w:val="clear" w:color="auto" w:fill="FFFFFF"/>
        <w:ind w:left="709"/>
        <w:jc w:val="both"/>
        <w:rPr>
          <w:rFonts w:ascii="Times New Roman" w:hAnsi="Times New Roman" w:cs="Times New Roman"/>
          <w:b/>
          <w:spacing w:val="-2"/>
          <w:sz w:val="22"/>
          <w:szCs w:val="22"/>
          <w:u w:val="single"/>
          <w:lang w:val="es-ES_tradnl" w:eastAsia="es-ES_tradnl"/>
        </w:rPr>
      </w:pPr>
    </w:p>
    <w:p w14:paraId="1BC9E74D" w14:textId="172A4D97" w:rsidR="007F07F9" w:rsidRPr="00C8275B" w:rsidRDefault="001F5027" w:rsidP="007F07F9">
      <w:pPr>
        <w:shd w:val="clear" w:color="auto" w:fill="FFFFFF"/>
        <w:ind w:left="720"/>
        <w:jc w:val="both"/>
        <w:rPr>
          <w:rFonts w:ascii="Times New Roman" w:hAnsi="Times New Roman" w:cs="Times New Roman"/>
          <w:sz w:val="22"/>
          <w:szCs w:val="22"/>
          <w:lang w:val="es-ES_tradnl" w:eastAsia="es-ES_tradnl"/>
        </w:rPr>
      </w:pPr>
      <w:r w:rsidRPr="00C8275B">
        <w:rPr>
          <w:rFonts w:ascii="Times New Roman" w:hAnsi="Times New Roman" w:cs="Times New Roman"/>
          <w:b/>
          <w:spacing w:val="-2"/>
          <w:sz w:val="22"/>
          <w:szCs w:val="22"/>
          <w:lang w:val="es-ES_tradnl" w:eastAsia="es-ES_tradnl"/>
        </w:rPr>
        <w:t>B.1</w:t>
      </w:r>
      <w:r w:rsidR="007F07F9" w:rsidRPr="00C8275B">
        <w:rPr>
          <w:rFonts w:ascii="Times New Roman" w:hAnsi="Times New Roman" w:cs="Times New Roman"/>
          <w:b/>
          <w:spacing w:val="-2"/>
          <w:sz w:val="22"/>
          <w:szCs w:val="22"/>
          <w:lang w:val="es-ES_tradnl" w:eastAsia="es-ES_tradnl"/>
        </w:rPr>
        <w:t>.</w:t>
      </w:r>
      <w:r w:rsidR="007F07F9" w:rsidRPr="00C8275B">
        <w:rPr>
          <w:rFonts w:ascii="Times New Roman" w:hAnsi="Times New Roman" w:cs="Times New Roman"/>
          <w:spacing w:val="-2"/>
          <w:sz w:val="22"/>
          <w:szCs w:val="22"/>
          <w:lang w:val="es-ES_tradnl" w:eastAsia="es-ES_tradnl"/>
        </w:rPr>
        <w:t xml:space="preserve"> </w:t>
      </w:r>
      <w:r w:rsidR="00137FCE" w:rsidRPr="00C8275B">
        <w:rPr>
          <w:rFonts w:ascii="Times New Roman" w:hAnsi="Times New Roman" w:cs="Times New Roman"/>
          <w:spacing w:val="-2"/>
          <w:sz w:val="22"/>
          <w:szCs w:val="22"/>
          <w:lang w:val="es-ES_tradnl" w:eastAsia="es-ES_tradnl"/>
        </w:rPr>
        <w:t xml:space="preserve">No existen pasivos financieros a largo plazo. </w:t>
      </w:r>
      <w:r w:rsidR="007F07F9" w:rsidRPr="00C8275B">
        <w:rPr>
          <w:rFonts w:ascii="Times New Roman" w:hAnsi="Times New Roman" w:cs="Times New Roman"/>
          <w:spacing w:val="-2"/>
          <w:sz w:val="22"/>
          <w:szCs w:val="22"/>
          <w:lang w:val="es-ES_tradnl" w:eastAsia="es-ES_tradnl"/>
        </w:rPr>
        <w:t xml:space="preserve">La composición por categorías de los pasivos financieros, a corto plazo es </w:t>
      </w:r>
      <w:r w:rsidR="007F07F9" w:rsidRPr="00C8275B">
        <w:rPr>
          <w:rFonts w:ascii="Times New Roman" w:hAnsi="Times New Roman" w:cs="Times New Roman"/>
          <w:sz w:val="22"/>
          <w:szCs w:val="22"/>
          <w:lang w:val="es-ES_tradnl" w:eastAsia="es-ES_tradnl"/>
        </w:rPr>
        <w:t>la siguiente:</w:t>
      </w:r>
    </w:p>
    <w:p w14:paraId="4CEF4B3C" w14:textId="13260B2D" w:rsidR="000028F7" w:rsidRPr="00C8275B" w:rsidRDefault="000028F7" w:rsidP="007F07F9">
      <w:pPr>
        <w:shd w:val="clear" w:color="auto" w:fill="FFFFFF"/>
        <w:ind w:left="720"/>
        <w:jc w:val="both"/>
        <w:rPr>
          <w:rFonts w:ascii="Times New Roman" w:hAnsi="Times New Roman" w:cs="Times New Roman"/>
          <w:sz w:val="22"/>
          <w:szCs w:val="22"/>
          <w:lang w:val="es-ES_tradnl" w:eastAsia="es-ES_tradnl"/>
        </w:rPr>
      </w:pPr>
    </w:p>
    <w:tbl>
      <w:tblPr>
        <w:tblW w:w="4613" w:type="pct"/>
        <w:tblInd w:w="779" w:type="dxa"/>
        <w:tblLayout w:type="fixed"/>
        <w:tblCellMar>
          <w:left w:w="70" w:type="dxa"/>
          <w:right w:w="70" w:type="dxa"/>
        </w:tblCellMar>
        <w:tblLook w:val="04A0" w:firstRow="1" w:lastRow="0" w:firstColumn="1" w:lastColumn="0" w:noHBand="0" w:noVBand="1"/>
      </w:tblPr>
      <w:tblGrid>
        <w:gridCol w:w="1957"/>
        <w:gridCol w:w="839"/>
        <w:gridCol w:w="840"/>
        <w:gridCol w:w="558"/>
        <w:gridCol w:w="558"/>
        <w:gridCol w:w="1119"/>
        <w:gridCol w:w="1122"/>
        <w:gridCol w:w="1128"/>
        <w:gridCol w:w="1033"/>
      </w:tblGrid>
      <w:tr w:rsidR="00143DCF" w:rsidRPr="0078792E" w14:paraId="0E1F37F9" w14:textId="77777777" w:rsidTr="00551274">
        <w:trPr>
          <w:trHeight w:val="300"/>
        </w:trPr>
        <w:tc>
          <w:tcPr>
            <w:tcW w:w="1069" w:type="pct"/>
            <w:vMerge w:val="restart"/>
            <w:tcBorders>
              <w:top w:val="single" w:sz="4" w:space="0" w:color="auto"/>
              <w:left w:val="nil"/>
              <w:bottom w:val="single" w:sz="4" w:space="0" w:color="auto"/>
              <w:right w:val="nil"/>
            </w:tcBorders>
            <w:shd w:val="clear" w:color="auto" w:fill="auto"/>
            <w:vAlign w:val="center"/>
            <w:hideMark/>
          </w:tcPr>
          <w:p w14:paraId="252D7CC6"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CATEGORÍAS \ CLASES</w:t>
            </w:r>
          </w:p>
        </w:tc>
        <w:tc>
          <w:tcPr>
            <w:tcW w:w="3931" w:type="pct"/>
            <w:gridSpan w:val="8"/>
            <w:tcBorders>
              <w:top w:val="single" w:sz="4" w:space="0" w:color="auto"/>
              <w:left w:val="nil"/>
              <w:bottom w:val="single" w:sz="4" w:space="0" w:color="auto"/>
              <w:right w:val="nil"/>
            </w:tcBorders>
            <w:shd w:val="clear" w:color="auto" w:fill="auto"/>
            <w:noWrap/>
            <w:vAlign w:val="center"/>
            <w:hideMark/>
          </w:tcPr>
          <w:p w14:paraId="5D1873C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PASIVOS FINANCIEROS A CORTO PLAZO</w:t>
            </w:r>
          </w:p>
        </w:tc>
      </w:tr>
      <w:tr w:rsidR="00551274" w:rsidRPr="0078792E" w14:paraId="38F1BC53" w14:textId="77777777" w:rsidTr="00551274">
        <w:trPr>
          <w:trHeight w:val="300"/>
        </w:trPr>
        <w:tc>
          <w:tcPr>
            <w:tcW w:w="1069" w:type="pct"/>
            <w:vMerge/>
            <w:tcBorders>
              <w:top w:val="single" w:sz="4" w:space="0" w:color="auto"/>
              <w:left w:val="nil"/>
              <w:bottom w:val="single" w:sz="4" w:space="0" w:color="auto"/>
              <w:right w:val="nil"/>
            </w:tcBorders>
            <w:vAlign w:val="center"/>
            <w:hideMark/>
          </w:tcPr>
          <w:p w14:paraId="5EB2FD48" w14:textId="77777777" w:rsidR="000028F7" w:rsidRPr="000028F7" w:rsidRDefault="000028F7" w:rsidP="000028F7">
            <w:pPr>
              <w:widowControl/>
              <w:autoSpaceDE/>
              <w:autoSpaceDN/>
              <w:adjustRightInd/>
              <w:rPr>
                <w:rFonts w:ascii="Times New Roman" w:hAnsi="Times New Roman" w:cs="Times New Roman"/>
                <w:b/>
                <w:bCs/>
                <w:sz w:val="17"/>
                <w:szCs w:val="17"/>
              </w:rPr>
            </w:pPr>
          </w:p>
        </w:tc>
        <w:tc>
          <w:tcPr>
            <w:tcW w:w="917" w:type="pct"/>
            <w:gridSpan w:val="2"/>
            <w:tcBorders>
              <w:top w:val="single" w:sz="4" w:space="0" w:color="auto"/>
              <w:left w:val="nil"/>
              <w:bottom w:val="single" w:sz="4" w:space="0" w:color="auto"/>
              <w:right w:val="nil"/>
            </w:tcBorders>
            <w:shd w:val="clear" w:color="auto" w:fill="auto"/>
            <w:vAlign w:val="center"/>
            <w:hideMark/>
          </w:tcPr>
          <w:p w14:paraId="13ABAB58"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Deudas con entidades de crédito</w:t>
            </w:r>
          </w:p>
        </w:tc>
        <w:tc>
          <w:tcPr>
            <w:tcW w:w="610" w:type="pct"/>
            <w:gridSpan w:val="2"/>
            <w:tcBorders>
              <w:top w:val="single" w:sz="4" w:space="0" w:color="auto"/>
              <w:left w:val="nil"/>
              <w:bottom w:val="single" w:sz="4" w:space="0" w:color="auto"/>
              <w:right w:val="nil"/>
            </w:tcBorders>
            <w:shd w:val="clear" w:color="auto" w:fill="auto"/>
            <w:vAlign w:val="center"/>
            <w:hideMark/>
          </w:tcPr>
          <w:p w14:paraId="3BD90FE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Obligaciones y otros valores negociables</w:t>
            </w:r>
          </w:p>
        </w:tc>
        <w:tc>
          <w:tcPr>
            <w:tcW w:w="1224" w:type="pct"/>
            <w:gridSpan w:val="2"/>
            <w:tcBorders>
              <w:top w:val="single" w:sz="4" w:space="0" w:color="auto"/>
              <w:left w:val="nil"/>
              <w:bottom w:val="single" w:sz="4" w:space="0" w:color="auto"/>
              <w:right w:val="nil"/>
            </w:tcBorders>
            <w:shd w:val="clear" w:color="auto" w:fill="auto"/>
            <w:vAlign w:val="center"/>
            <w:hideMark/>
          </w:tcPr>
          <w:p w14:paraId="114509C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Derivados y otros</w:t>
            </w:r>
          </w:p>
        </w:tc>
        <w:tc>
          <w:tcPr>
            <w:tcW w:w="1180" w:type="pct"/>
            <w:gridSpan w:val="2"/>
            <w:tcBorders>
              <w:top w:val="single" w:sz="4" w:space="0" w:color="auto"/>
              <w:left w:val="nil"/>
              <w:bottom w:val="single" w:sz="4" w:space="0" w:color="auto"/>
              <w:right w:val="nil"/>
            </w:tcBorders>
            <w:shd w:val="clear" w:color="auto" w:fill="auto"/>
            <w:noWrap/>
            <w:vAlign w:val="center"/>
            <w:hideMark/>
          </w:tcPr>
          <w:p w14:paraId="209616B4"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TOTAL</w:t>
            </w:r>
          </w:p>
        </w:tc>
      </w:tr>
      <w:tr w:rsidR="00551274" w:rsidRPr="0078792E" w14:paraId="7A6C43E4" w14:textId="77777777" w:rsidTr="00551274">
        <w:trPr>
          <w:trHeight w:val="300"/>
        </w:trPr>
        <w:tc>
          <w:tcPr>
            <w:tcW w:w="1069" w:type="pct"/>
            <w:vMerge/>
            <w:tcBorders>
              <w:top w:val="single" w:sz="4" w:space="0" w:color="auto"/>
              <w:left w:val="nil"/>
              <w:bottom w:val="single" w:sz="4" w:space="0" w:color="auto"/>
              <w:right w:val="nil"/>
            </w:tcBorders>
            <w:vAlign w:val="center"/>
            <w:hideMark/>
          </w:tcPr>
          <w:p w14:paraId="2CD29A30" w14:textId="77777777" w:rsidR="000028F7" w:rsidRPr="000028F7" w:rsidRDefault="000028F7" w:rsidP="000028F7">
            <w:pPr>
              <w:widowControl/>
              <w:autoSpaceDE/>
              <w:autoSpaceDN/>
              <w:adjustRightInd/>
              <w:rPr>
                <w:rFonts w:ascii="Times New Roman" w:hAnsi="Times New Roman" w:cs="Times New Roman"/>
                <w:b/>
                <w:bCs/>
                <w:sz w:val="17"/>
                <w:szCs w:val="17"/>
              </w:rPr>
            </w:pPr>
          </w:p>
        </w:tc>
        <w:tc>
          <w:tcPr>
            <w:tcW w:w="458" w:type="pct"/>
            <w:tcBorders>
              <w:top w:val="nil"/>
              <w:left w:val="nil"/>
              <w:bottom w:val="single" w:sz="4" w:space="0" w:color="auto"/>
              <w:right w:val="nil"/>
            </w:tcBorders>
            <w:shd w:val="clear" w:color="auto" w:fill="auto"/>
            <w:vAlign w:val="center"/>
            <w:hideMark/>
          </w:tcPr>
          <w:p w14:paraId="2671FBB4"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459" w:type="pct"/>
            <w:tcBorders>
              <w:top w:val="nil"/>
              <w:left w:val="nil"/>
              <w:bottom w:val="single" w:sz="4" w:space="0" w:color="auto"/>
              <w:right w:val="nil"/>
            </w:tcBorders>
            <w:shd w:val="clear" w:color="auto" w:fill="auto"/>
            <w:vAlign w:val="center"/>
            <w:hideMark/>
          </w:tcPr>
          <w:p w14:paraId="7DD2012D"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305" w:type="pct"/>
            <w:tcBorders>
              <w:top w:val="nil"/>
              <w:left w:val="nil"/>
              <w:bottom w:val="single" w:sz="4" w:space="0" w:color="auto"/>
              <w:right w:val="nil"/>
            </w:tcBorders>
            <w:shd w:val="clear" w:color="auto" w:fill="auto"/>
            <w:vAlign w:val="center"/>
            <w:hideMark/>
          </w:tcPr>
          <w:p w14:paraId="7C8424E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305" w:type="pct"/>
            <w:tcBorders>
              <w:top w:val="nil"/>
              <w:left w:val="nil"/>
              <w:bottom w:val="single" w:sz="4" w:space="0" w:color="auto"/>
              <w:right w:val="nil"/>
            </w:tcBorders>
            <w:shd w:val="clear" w:color="auto" w:fill="auto"/>
            <w:vAlign w:val="center"/>
            <w:hideMark/>
          </w:tcPr>
          <w:p w14:paraId="748911B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611" w:type="pct"/>
            <w:tcBorders>
              <w:top w:val="nil"/>
              <w:left w:val="nil"/>
              <w:bottom w:val="single" w:sz="4" w:space="0" w:color="auto"/>
              <w:right w:val="nil"/>
            </w:tcBorders>
            <w:shd w:val="clear" w:color="auto" w:fill="auto"/>
            <w:vAlign w:val="center"/>
            <w:hideMark/>
          </w:tcPr>
          <w:p w14:paraId="4979FBFD"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613" w:type="pct"/>
            <w:tcBorders>
              <w:top w:val="nil"/>
              <w:left w:val="nil"/>
              <w:bottom w:val="single" w:sz="4" w:space="0" w:color="auto"/>
              <w:right w:val="nil"/>
            </w:tcBorders>
            <w:shd w:val="clear" w:color="auto" w:fill="auto"/>
            <w:vAlign w:val="center"/>
            <w:hideMark/>
          </w:tcPr>
          <w:p w14:paraId="67C4F6A5"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c>
          <w:tcPr>
            <w:tcW w:w="616" w:type="pct"/>
            <w:tcBorders>
              <w:top w:val="nil"/>
              <w:left w:val="nil"/>
              <w:bottom w:val="single" w:sz="4" w:space="0" w:color="auto"/>
              <w:right w:val="nil"/>
            </w:tcBorders>
            <w:shd w:val="clear" w:color="auto" w:fill="auto"/>
            <w:vAlign w:val="center"/>
            <w:hideMark/>
          </w:tcPr>
          <w:p w14:paraId="0A36FAB3"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2022</w:t>
            </w:r>
          </w:p>
        </w:tc>
        <w:tc>
          <w:tcPr>
            <w:tcW w:w="564" w:type="pct"/>
            <w:tcBorders>
              <w:top w:val="nil"/>
              <w:left w:val="nil"/>
              <w:bottom w:val="single" w:sz="4" w:space="0" w:color="auto"/>
              <w:right w:val="nil"/>
            </w:tcBorders>
            <w:shd w:val="clear" w:color="auto" w:fill="auto"/>
            <w:vAlign w:val="center"/>
            <w:hideMark/>
          </w:tcPr>
          <w:p w14:paraId="7A3C67EF"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Ej. 2021</w:t>
            </w:r>
          </w:p>
        </w:tc>
      </w:tr>
      <w:tr w:rsidR="00551274" w:rsidRPr="0078792E" w14:paraId="73EA60A0" w14:textId="77777777" w:rsidTr="0078792E">
        <w:trPr>
          <w:trHeight w:val="493"/>
        </w:trPr>
        <w:tc>
          <w:tcPr>
            <w:tcW w:w="1069" w:type="pct"/>
            <w:tcBorders>
              <w:top w:val="nil"/>
              <w:left w:val="nil"/>
              <w:bottom w:val="single" w:sz="4" w:space="0" w:color="auto"/>
              <w:right w:val="nil"/>
            </w:tcBorders>
            <w:shd w:val="clear" w:color="auto" w:fill="auto"/>
            <w:vAlign w:val="center"/>
            <w:hideMark/>
          </w:tcPr>
          <w:p w14:paraId="26757CA3" w14:textId="25799A35"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Pasivo</w:t>
            </w:r>
            <w:r w:rsidR="00143DCF" w:rsidRPr="0078792E">
              <w:rPr>
                <w:rFonts w:ascii="Times New Roman" w:hAnsi="Times New Roman" w:cs="Times New Roman"/>
                <w:b/>
                <w:bCs/>
                <w:sz w:val="17"/>
                <w:szCs w:val="17"/>
              </w:rPr>
              <w:t>s</w:t>
            </w:r>
            <w:r w:rsidRPr="000028F7">
              <w:rPr>
                <w:rFonts w:ascii="Times New Roman" w:hAnsi="Times New Roman" w:cs="Times New Roman"/>
                <w:b/>
                <w:bCs/>
                <w:sz w:val="17"/>
                <w:szCs w:val="17"/>
              </w:rPr>
              <w:t xml:space="preserve"> financieros a coste amortizado o coste</w:t>
            </w:r>
          </w:p>
        </w:tc>
        <w:tc>
          <w:tcPr>
            <w:tcW w:w="458" w:type="pct"/>
            <w:tcBorders>
              <w:top w:val="nil"/>
              <w:left w:val="nil"/>
              <w:bottom w:val="single" w:sz="4" w:space="0" w:color="auto"/>
              <w:right w:val="nil"/>
            </w:tcBorders>
            <w:shd w:val="clear" w:color="auto" w:fill="auto"/>
            <w:vAlign w:val="center"/>
            <w:hideMark/>
          </w:tcPr>
          <w:p w14:paraId="043B47F8"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30.000,00</w:t>
            </w:r>
          </w:p>
        </w:tc>
        <w:tc>
          <w:tcPr>
            <w:tcW w:w="459" w:type="pct"/>
            <w:tcBorders>
              <w:top w:val="nil"/>
              <w:left w:val="nil"/>
              <w:bottom w:val="single" w:sz="4" w:space="0" w:color="auto"/>
              <w:right w:val="nil"/>
            </w:tcBorders>
            <w:shd w:val="clear" w:color="auto" w:fill="auto"/>
            <w:vAlign w:val="center"/>
            <w:hideMark/>
          </w:tcPr>
          <w:p w14:paraId="7144A4E5"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0,00</w:t>
            </w:r>
          </w:p>
        </w:tc>
        <w:tc>
          <w:tcPr>
            <w:tcW w:w="305" w:type="pct"/>
            <w:tcBorders>
              <w:top w:val="nil"/>
              <w:left w:val="nil"/>
              <w:bottom w:val="single" w:sz="4" w:space="0" w:color="auto"/>
              <w:right w:val="nil"/>
            </w:tcBorders>
            <w:shd w:val="clear" w:color="auto" w:fill="auto"/>
            <w:vAlign w:val="center"/>
            <w:hideMark/>
          </w:tcPr>
          <w:p w14:paraId="7176E10C"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 </w:t>
            </w:r>
          </w:p>
        </w:tc>
        <w:tc>
          <w:tcPr>
            <w:tcW w:w="305" w:type="pct"/>
            <w:tcBorders>
              <w:top w:val="nil"/>
              <w:left w:val="nil"/>
              <w:bottom w:val="single" w:sz="4" w:space="0" w:color="auto"/>
              <w:right w:val="nil"/>
            </w:tcBorders>
            <w:shd w:val="clear" w:color="auto" w:fill="auto"/>
            <w:vAlign w:val="center"/>
            <w:hideMark/>
          </w:tcPr>
          <w:p w14:paraId="78A46CF0"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 </w:t>
            </w:r>
          </w:p>
        </w:tc>
        <w:tc>
          <w:tcPr>
            <w:tcW w:w="611" w:type="pct"/>
            <w:tcBorders>
              <w:top w:val="nil"/>
              <w:left w:val="nil"/>
              <w:bottom w:val="single" w:sz="4" w:space="0" w:color="auto"/>
              <w:right w:val="nil"/>
            </w:tcBorders>
            <w:shd w:val="clear" w:color="auto" w:fill="auto"/>
            <w:vAlign w:val="center"/>
            <w:hideMark/>
          </w:tcPr>
          <w:p w14:paraId="56F41C76"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4.941.122,45</w:t>
            </w:r>
          </w:p>
        </w:tc>
        <w:tc>
          <w:tcPr>
            <w:tcW w:w="613" w:type="pct"/>
            <w:tcBorders>
              <w:top w:val="nil"/>
              <w:left w:val="nil"/>
              <w:bottom w:val="single" w:sz="4" w:space="0" w:color="auto"/>
              <w:right w:val="nil"/>
            </w:tcBorders>
            <w:shd w:val="clear" w:color="auto" w:fill="auto"/>
            <w:vAlign w:val="center"/>
            <w:hideMark/>
          </w:tcPr>
          <w:p w14:paraId="6DF4BCA5" w14:textId="77777777" w:rsidR="000028F7" w:rsidRPr="000028F7" w:rsidRDefault="000028F7" w:rsidP="000028F7">
            <w:pPr>
              <w:widowControl/>
              <w:autoSpaceDE/>
              <w:autoSpaceDN/>
              <w:adjustRightInd/>
              <w:jc w:val="center"/>
              <w:rPr>
                <w:rFonts w:ascii="Times New Roman" w:hAnsi="Times New Roman" w:cs="Times New Roman"/>
                <w:sz w:val="17"/>
                <w:szCs w:val="17"/>
              </w:rPr>
            </w:pPr>
            <w:r w:rsidRPr="000028F7">
              <w:rPr>
                <w:rFonts w:ascii="Times New Roman" w:hAnsi="Times New Roman" w:cs="Times New Roman"/>
                <w:sz w:val="17"/>
                <w:szCs w:val="17"/>
              </w:rPr>
              <w:t>1.431.175,81</w:t>
            </w:r>
          </w:p>
        </w:tc>
        <w:tc>
          <w:tcPr>
            <w:tcW w:w="616" w:type="pct"/>
            <w:tcBorders>
              <w:top w:val="nil"/>
              <w:left w:val="nil"/>
              <w:bottom w:val="single" w:sz="4" w:space="0" w:color="auto"/>
              <w:right w:val="nil"/>
            </w:tcBorders>
            <w:shd w:val="clear" w:color="auto" w:fill="auto"/>
            <w:noWrap/>
            <w:vAlign w:val="center"/>
            <w:hideMark/>
          </w:tcPr>
          <w:p w14:paraId="60F607B7"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4.971.122,45</w:t>
            </w:r>
          </w:p>
        </w:tc>
        <w:tc>
          <w:tcPr>
            <w:tcW w:w="564" w:type="pct"/>
            <w:tcBorders>
              <w:top w:val="nil"/>
              <w:left w:val="nil"/>
              <w:bottom w:val="single" w:sz="4" w:space="0" w:color="auto"/>
              <w:right w:val="nil"/>
            </w:tcBorders>
            <w:shd w:val="clear" w:color="auto" w:fill="auto"/>
            <w:noWrap/>
            <w:vAlign w:val="center"/>
            <w:hideMark/>
          </w:tcPr>
          <w:p w14:paraId="5992E865"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r>
      <w:tr w:rsidR="00551274" w:rsidRPr="0078792E" w14:paraId="253F1EE2" w14:textId="77777777" w:rsidTr="0078792E">
        <w:trPr>
          <w:trHeight w:val="429"/>
        </w:trPr>
        <w:tc>
          <w:tcPr>
            <w:tcW w:w="1069" w:type="pct"/>
            <w:tcBorders>
              <w:top w:val="nil"/>
              <w:left w:val="nil"/>
              <w:bottom w:val="single" w:sz="4" w:space="0" w:color="auto"/>
              <w:right w:val="nil"/>
            </w:tcBorders>
            <w:shd w:val="clear" w:color="auto" w:fill="auto"/>
            <w:noWrap/>
            <w:vAlign w:val="center"/>
            <w:hideMark/>
          </w:tcPr>
          <w:p w14:paraId="0189D696"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Pasivos a VR con cambios en pérdidas y ganancias</w:t>
            </w:r>
          </w:p>
        </w:tc>
        <w:tc>
          <w:tcPr>
            <w:tcW w:w="458" w:type="pct"/>
            <w:tcBorders>
              <w:top w:val="nil"/>
              <w:left w:val="nil"/>
              <w:bottom w:val="single" w:sz="4" w:space="0" w:color="auto"/>
              <w:right w:val="nil"/>
            </w:tcBorders>
            <w:shd w:val="clear" w:color="auto" w:fill="auto"/>
            <w:noWrap/>
            <w:vAlign w:val="center"/>
            <w:hideMark/>
          </w:tcPr>
          <w:p w14:paraId="1FF9E0BB"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459" w:type="pct"/>
            <w:tcBorders>
              <w:top w:val="nil"/>
              <w:left w:val="nil"/>
              <w:bottom w:val="single" w:sz="4" w:space="0" w:color="auto"/>
              <w:right w:val="nil"/>
            </w:tcBorders>
            <w:shd w:val="clear" w:color="auto" w:fill="auto"/>
            <w:noWrap/>
            <w:vAlign w:val="center"/>
            <w:hideMark/>
          </w:tcPr>
          <w:p w14:paraId="502F2E2A"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305" w:type="pct"/>
            <w:tcBorders>
              <w:top w:val="nil"/>
              <w:left w:val="nil"/>
              <w:bottom w:val="single" w:sz="4" w:space="0" w:color="auto"/>
              <w:right w:val="nil"/>
            </w:tcBorders>
            <w:shd w:val="clear" w:color="auto" w:fill="auto"/>
            <w:noWrap/>
            <w:vAlign w:val="center"/>
            <w:hideMark/>
          </w:tcPr>
          <w:p w14:paraId="3D0AEA7F"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305" w:type="pct"/>
            <w:tcBorders>
              <w:top w:val="nil"/>
              <w:left w:val="nil"/>
              <w:bottom w:val="single" w:sz="4" w:space="0" w:color="auto"/>
              <w:right w:val="nil"/>
            </w:tcBorders>
            <w:shd w:val="clear" w:color="auto" w:fill="auto"/>
            <w:noWrap/>
            <w:vAlign w:val="center"/>
            <w:hideMark/>
          </w:tcPr>
          <w:p w14:paraId="66D2D536"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1" w:type="pct"/>
            <w:tcBorders>
              <w:top w:val="nil"/>
              <w:left w:val="nil"/>
              <w:bottom w:val="single" w:sz="4" w:space="0" w:color="auto"/>
              <w:right w:val="nil"/>
            </w:tcBorders>
            <w:shd w:val="clear" w:color="auto" w:fill="auto"/>
            <w:noWrap/>
            <w:vAlign w:val="center"/>
            <w:hideMark/>
          </w:tcPr>
          <w:p w14:paraId="414A78F8"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3" w:type="pct"/>
            <w:tcBorders>
              <w:top w:val="nil"/>
              <w:left w:val="nil"/>
              <w:bottom w:val="single" w:sz="4" w:space="0" w:color="auto"/>
              <w:right w:val="nil"/>
            </w:tcBorders>
            <w:shd w:val="clear" w:color="auto" w:fill="auto"/>
            <w:noWrap/>
            <w:vAlign w:val="center"/>
            <w:hideMark/>
          </w:tcPr>
          <w:p w14:paraId="610FA1B3" w14:textId="77777777" w:rsidR="000028F7" w:rsidRPr="000028F7" w:rsidRDefault="000028F7" w:rsidP="000028F7">
            <w:pPr>
              <w:widowControl/>
              <w:autoSpaceDE/>
              <w:autoSpaceDN/>
              <w:adjustRightInd/>
              <w:rPr>
                <w:rFonts w:ascii="Times New Roman" w:hAnsi="Times New Roman" w:cs="Times New Roman"/>
                <w:b/>
                <w:bCs/>
                <w:sz w:val="17"/>
                <w:szCs w:val="17"/>
              </w:rPr>
            </w:pPr>
            <w:r w:rsidRPr="000028F7">
              <w:rPr>
                <w:rFonts w:ascii="Times New Roman" w:hAnsi="Times New Roman" w:cs="Times New Roman"/>
                <w:b/>
                <w:bCs/>
                <w:sz w:val="17"/>
                <w:szCs w:val="17"/>
              </w:rPr>
              <w:t> </w:t>
            </w:r>
          </w:p>
        </w:tc>
        <w:tc>
          <w:tcPr>
            <w:tcW w:w="616" w:type="pct"/>
            <w:tcBorders>
              <w:top w:val="nil"/>
              <w:left w:val="nil"/>
              <w:bottom w:val="single" w:sz="4" w:space="0" w:color="auto"/>
              <w:right w:val="nil"/>
            </w:tcBorders>
            <w:shd w:val="clear" w:color="auto" w:fill="auto"/>
            <w:noWrap/>
            <w:vAlign w:val="center"/>
            <w:hideMark/>
          </w:tcPr>
          <w:p w14:paraId="2FBB478A"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564" w:type="pct"/>
            <w:tcBorders>
              <w:top w:val="nil"/>
              <w:left w:val="nil"/>
              <w:bottom w:val="single" w:sz="4" w:space="0" w:color="auto"/>
              <w:right w:val="nil"/>
            </w:tcBorders>
            <w:shd w:val="clear" w:color="auto" w:fill="auto"/>
            <w:noWrap/>
            <w:vAlign w:val="center"/>
            <w:hideMark/>
          </w:tcPr>
          <w:p w14:paraId="3EB4481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r>
      <w:tr w:rsidR="00551274" w:rsidRPr="0078792E" w14:paraId="6B4AC67F" w14:textId="77777777" w:rsidTr="00551274">
        <w:trPr>
          <w:trHeight w:val="300"/>
        </w:trPr>
        <w:tc>
          <w:tcPr>
            <w:tcW w:w="1069" w:type="pct"/>
            <w:tcBorders>
              <w:top w:val="nil"/>
              <w:left w:val="nil"/>
              <w:bottom w:val="single" w:sz="4" w:space="0" w:color="auto"/>
              <w:right w:val="nil"/>
            </w:tcBorders>
            <w:shd w:val="clear" w:color="auto" w:fill="auto"/>
            <w:vAlign w:val="center"/>
            <w:hideMark/>
          </w:tcPr>
          <w:p w14:paraId="01908D3C"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TOTAL</w:t>
            </w:r>
          </w:p>
        </w:tc>
        <w:tc>
          <w:tcPr>
            <w:tcW w:w="458" w:type="pct"/>
            <w:tcBorders>
              <w:top w:val="nil"/>
              <w:left w:val="nil"/>
              <w:bottom w:val="single" w:sz="4" w:space="0" w:color="auto"/>
              <w:right w:val="nil"/>
            </w:tcBorders>
            <w:shd w:val="clear" w:color="auto" w:fill="auto"/>
            <w:vAlign w:val="center"/>
            <w:hideMark/>
          </w:tcPr>
          <w:p w14:paraId="2186F511"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30.000,00</w:t>
            </w:r>
          </w:p>
        </w:tc>
        <w:tc>
          <w:tcPr>
            <w:tcW w:w="459" w:type="pct"/>
            <w:tcBorders>
              <w:top w:val="nil"/>
              <w:left w:val="nil"/>
              <w:bottom w:val="single" w:sz="4" w:space="0" w:color="auto"/>
              <w:right w:val="nil"/>
            </w:tcBorders>
            <w:shd w:val="clear" w:color="auto" w:fill="auto"/>
            <w:vAlign w:val="center"/>
            <w:hideMark/>
          </w:tcPr>
          <w:p w14:paraId="51743E7B"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305" w:type="pct"/>
            <w:tcBorders>
              <w:top w:val="nil"/>
              <w:left w:val="nil"/>
              <w:bottom w:val="single" w:sz="4" w:space="0" w:color="auto"/>
              <w:right w:val="nil"/>
            </w:tcBorders>
            <w:shd w:val="clear" w:color="auto" w:fill="auto"/>
            <w:vAlign w:val="center"/>
            <w:hideMark/>
          </w:tcPr>
          <w:p w14:paraId="738DC797"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305" w:type="pct"/>
            <w:tcBorders>
              <w:top w:val="nil"/>
              <w:left w:val="nil"/>
              <w:bottom w:val="single" w:sz="4" w:space="0" w:color="auto"/>
              <w:right w:val="nil"/>
            </w:tcBorders>
            <w:shd w:val="clear" w:color="auto" w:fill="auto"/>
            <w:vAlign w:val="center"/>
            <w:hideMark/>
          </w:tcPr>
          <w:p w14:paraId="212ED85B"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0,00</w:t>
            </w:r>
          </w:p>
        </w:tc>
        <w:tc>
          <w:tcPr>
            <w:tcW w:w="611" w:type="pct"/>
            <w:tcBorders>
              <w:top w:val="nil"/>
              <w:left w:val="nil"/>
              <w:bottom w:val="single" w:sz="4" w:space="0" w:color="auto"/>
              <w:right w:val="nil"/>
            </w:tcBorders>
            <w:shd w:val="clear" w:color="auto" w:fill="auto"/>
            <w:vAlign w:val="center"/>
            <w:hideMark/>
          </w:tcPr>
          <w:p w14:paraId="1D2ECF23"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4.941.122,45</w:t>
            </w:r>
          </w:p>
        </w:tc>
        <w:tc>
          <w:tcPr>
            <w:tcW w:w="613" w:type="pct"/>
            <w:tcBorders>
              <w:top w:val="nil"/>
              <w:left w:val="nil"/>
              <w:bottom w:val="single" w:sz="4" w:space="0" w:color="auto"/>
              <w:right w:val="nil"/>
            </w:tcBorders>
            <w:shd w:val="clear" w:color="auto" w:fill="auto"/>
            <w:vAlign w:val="center"/>
            <w:hideMark/>
          </w:tcPr>
          <w:p w14:paraId="27CD2E69"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c>
          <w:tcPr>
            <w:tcW w:w="616" w:type="pct"/>
            <w:tcBorders>
              <w:top w:val="nil"/>
              <w:left w:val="nil"/>
              <w:bottom w:val="single" w:sz="4" w:space="0" w:color="auto"/>
              <w:right w:val="nil"/>
            </w:tcBorders>
            <w:shd w:val="clear" w:color="auto" w:fill="auto"/>
            <w:vAlign w:val="center"/>
            <w:hideMark/>
          </w:tcPr>
          <w:p w14:paraId="057A2A92"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4.971.122,45</w:t>
            </w:r>
          </w:p>
        </w:tc>
        <w:tc>
          <w:tcPr>
            <w:tcW w:w="564" w:type="pct"/>
            <w:tcBorders>
              <w:top w:val="nil"/>
              <w:left w:val="nil"/>
              <w:bottom w:val="single" w:sz="4" w:space="0" w:color="auto"/>
              <w:right w:val="nil"/>
            </w:tcBorders>
            <w:shd w:val="clear" w:color="auto" w:fill="auto"/>
            <w:vAlign w:val="center"/>
            <w:hideMark/>
          </w:tcPr>
          <w:p w14:paraId="3ABFCDE6" w14:textId="77777777" w:rsidR="000028F7" w:rsidRPr="000028F7" w:rsidRDefault="000028F7" w:rsidP="000028F7">
            <w:pPr>
              <w:widowControl/>
              <w:autoSpaceDE/>
              <w:autoSpaceDN/>
              <w:adjustRightInd/>
              <w:jc w:val="center"/>
              <w:rPr>
                <w:rFonts w:ascii="Times New Roman" w:hAnsi="Times New Roman" w:cs="Times New Roman"/>
                <w:b/>
                <w:bCs/>
                <w:sz w:val="17"/>
                <w:szCs w:val="17"/>
              </w:rPr>
            </w:pPr>
            <w:r w:rsidRPr="000028F7">
              <w:rPr>
                <w:rFonts w:ascii="Times New Roman" w:hAnsi="Times New Roman" w:cs="Times New Roman"/>
                <w:b/>
                <w:bCs/>
                <w:sz w:val="17"/>
                <w:szCs w:val="17"/>
              </w:rPr>
              <w:t>1.431.175,81</w:t>
            </w:r>
          </w:p>
        </w:tc>
      </w:tr>
    </w:tbl>
    <w:p w14:paraId="358770AD" w14:textId="27FA6096" w:rsidR="000028F7" w:rsidRPr="00C8275B" w:rsidRDefault="000028F7" w:rsidP="007F07F9">
      <w:pPr>
        <w:shd w:val="clear" w:color="auto" w:fill="FFFFFF"/>
        <w:ind w:left="720"/>
        <w:jc w:val="both"/>
        <w:rPr>
          <w:rFonts w:ascii="Times New Roman" w:hAnsi="Times New Roman" w:cs="Times New Roman"/>
          <w:sz w:val="22"/>
          <w:szCs w:val="22"/>
          <w:lang w:val="es-ES_tradnl" w:eastAsia="es-ES_tradnl"/>
        </w:rPr>
      </w:pPr>
    </w:p>
    <w:p w14:paraId="4B5815C3" w14:textId="2EDCA5B6" w:rsidR="000028F7" w:rsidRPr="00C8275B" w:rsidRDefault="000028F7" w:rsidP="007F07F9">
      <w:pPr>
        <w:shd w:val="clear" w:color="auto" w:fill="FFFFFF"/>
        <w:ind w:left="720"/>
        <w:jc w:val="both"/>
        <w:rPr>
          <w:rFonts w:ascii="Times New Roman" w:hAnsi="Times New Roman" w:cs="Times New Roman"/>
          <w:sz w:val="22"/>
          <w:szCs w:val="22"/>
          <w:lang w:val="es-ES_tradnl" w:eastAsia="es-ES_tradnl"/>
        </w:rPr>
      </w:pPr>
    </w:p>
    <w:p w14:paraId="50D34303" w14:textId="5CB86D88" w:rsidR="004B7A46" w:rsidRPr="00C8275B" w:rsidRDefault="00DB1351" w:rsidP="0007387A">
      <w:pPr>
        <w:widowControl/>
        <w:autoSpaceDE/>
        <w:autoSpaceDN/>
        <w:adjustRightInd/>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b/>
          <w:spacing w:val="-2"/>
          <w:sz w:val="22"/>
          <w:szCs w:val="22"/>
          <w:lang w:val="es-ES_tradnl" w:eastAsia="es-ES_tradnl"/>
        </w:rPr>
        <w:t>B.</w:t>
      </w:r>
      <w:r w:rsidR="000028F7" w:rsidRPr="00C8275B">
        <w:rPr>
          <w:rFonts w:ascii="Times New Roman" w:hAnsi="Times New Roman" w:cs="Times New Roman"/>
          <w:b/>
          <w:spacing w:val="-2"/>
          <w:sz w:val="22"/>
          <w:szCs w:val="22"/>
          <w:lang w:val="es-ES_tradnl" w:eastAsia="es-ES_tradnl"/>
        </w:rPr>
        <w:t>2</w:t>
      </w:r>
      <w:r w:rsidR="005C277E" w:rsidRPr="00C8275B">
        <w:rPr>
          <w:rFonts w:ascii="Times New Roman" w:hAnsi="Times New Roman" w:cs="Times New Roman"/>
          <w:b/>
          <w:spacing w:val="-2"/>
          <w:sz w:val="22"/>
          <w:szCs w:val="22"/>
          <w:lang w:val="es-ES_tradnl" w:eastAsia="es-ES_tradnl"/>
        </w:rPr>
        <w:t>.</w:t>
      </w:r>
      <w:r w:rsidR="005C277E" w:rsidRPr="00C8275B">
        <w:rPr>
          <w:rFonts w:ascii="Times New Roman" w:hAnsi="Times New Roman" w:cs="Times New Roman"/>
          <w:spacing w:val="-2"/>
          <w:sz w:val="22"/>
          <w:szCs w:val="22"/>
          <w:lang w:val="es-ES_tradnl" w:eastAsia="es-ES_tradnl"/>
        </w:rPr>
        <w:t xml:space="preserve"> </w:t>
      </w:r>
      <w:r w:rsidR="00DF704D" w:rsidRPr="00C8275B">
        <w:rPr>
          <w:rFonts w:ascii="Times New Roman" w:hAnsi="Times New Roman" w:cs="Times New Roman"/>
          <w:spacing w:val="-2"/>
          <w:sz w:val="22"/>
          <w:szCs w:val="22"/>
          <w:lang w:val="es-ES_tradnl" w:eastAsia="es-ES_tradnl"/>
        </w:rPr>
        <w:t>Las clasificaciones por vencimiento de los pasivos financieros de la Sociedad, de los importes que</w:t>
      </w:r>
      <w:r w:rsidR="0007387A" w:rsidRPr="00C8275B">
        <w:rPr>
          <w:rFonts w:ascii="Times New Roman" w:hAnsi="Times New Roman" w:cs="Times New Roman"/>
          <w:spacing w:val="-2"/>
          <w:sz w:val="22"/>
          <w:szCs w:val="22"/>
          <w:lang w:val="es-ES_tradnl" w:eastAsia="es-ES_tradnl"/>
        </w:rPr>
        <w:t xml:space="preserve"> venzan en cada uno de los siguientes años al cierre del ejercicio y hasta su último vencimiento, se detallan en el siguiente cuadro:</w:t>
      </w:r>
    </w:p>
    <w:p w14:paraId="2A4EF404" w14:textId="19DA6ECE" w:rsidR="00437AF6" w:rsidRPr="00C8275B" w:rsidRDefault="00437AF6" w:rsidP="0007387A">
      <w:pPr>
        <w:widowControl/>
        <w:autoSpaceDE/>
        <w:autoSpaceDN/>
        <w:adjustRightInd/>
        <w:ind w:left="709"/>
        <w:jc w:val="both"/>
        <w:rPr>
          <w:rFonts w:ascii="Times New Roman" w:hAnsi="Times New Roman" w:cs="Times New Roman"/>
          <w:b/>
          <w:spacing w:val="-2"/>
          <w:sz w:val="22"/>
          <w:szCs w:val="22"/>
          <w:lang w:val="es-ES_tradnl" w:eastAsia="es-ES_tradnl"/>
        </w:rPr>
      </w:pPr>
    </w:p>
    <w:tbl>
      <w:tblPr>
        <w:tblW w:w="9970" w:type="dxa"/>
        <w:tblInd w:w="473" w:type="dxa"/>
        <w:tblCellMar>
          <w:left w:w="70" w:type="dxa"/>
          <w:right w:w="70" w:type="dxa"/>
        </w:tblCellMar>
        <w:tblLook w:val="04A0" w:firstRow="1" w:lastRow="0" w:firstColumn="1" w:lastColumn="0" w:noHBand="0" w:noVBand="1"/>
      </w:tblPr>
      <w:tblGrid>
        <w:gridCol w:w="4981"/>
        <w:gridCol w:w="1123"/>
        <w:gridCol w:w="471"/>
        <w:gridCol w:w="471"/>
        <w:gridCol w:w="471"/>
        <w:gridCol w:w="471"/>
        <w:gridCol w:w="859"/>
        <w:gridCol w:w="1123"/>
      </w:tblGrid>
      <w:tr w:rsidR="00437AF6" w:rsidRPr="00437AF6" w14:paraId="094432CF" w14:textId="77777777" w:rsidTr="009A6F4A">
        <w:trPr>
          <w:trHeight w:val="228"/>
        </w:trPr>
        <w:tc>
          <w:tcPr>
            <w:tcW w:w="0" w:type="auto"/>
            <w:tcBorders>
              <w:top w:val="single" w:sz="4" w:space="0" w:color="auto"/>
              <w:left w:val="nil"/>
              <w:bottom w:val="single" w:sz="4" w:space="0" w:color="auto"/>
              <w:right w:val="nil"/>
            </w:tcBorders>
            <w:shd w:val="clear" w:color="auto" w:fill="auto"/>
            <w:noWrap/>
            <w:vAlign w:val="bottom"/>
            <w:hideMark/>
          </w:tcPr>
          <w:p w14:paraId="7B76AB88" w14:textId="77777777" w:rsidR="00437AF6" w:rsidRPr="00437AF6" w:rsidRDefault="00437AF6" w:rsidP="00437AF6">
            <w:pPr>
              <w:widowControl/>
              <w:autoSpaceDE/>
              <w:autoSpaceDN/>
              <w:adjustRightInd/>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gridSpan w:val="7"/>
            <w:tcBorders>
              <w:top w:val="single" w:sz="4" w:space="0" w:color="auto"/>
              <w:left w:val="nil"/>
              <w:bottom w:val="single" w:sz="4" w:space="0" w:color="auto"/>
              <w:right w:val="nil"/>
            </w:tcBorders>
            <w:shd w:val="clear" w:color="auto" w:fill="auto"/>
            <w:noWrap/>
            <w:vAlign w:val="bottom"/>
            <w:hideMark/>
          </w:tcPr>
          <w:p w14:paraId="129F6DCE"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Vencimiento en años</w:t>
            </w:r>
          </w:p>
        </w:tc>
      </w:tr>
      <w:tr w:rsidR="00C8275B" w:rsidRPr="0078792E" w14:paraId="4CEF08AE" w14:textId="77777777" w:rsidTr="009A6F4A">
        <w:trPr>
          <w:trHeight w:val="228"/>
        </w:trPr>
        <w:tc>
          <w:tcPr>
            <w:tcW w:w="0" w:type="auto"/>
            <w:tcBorders>
              <w:top w:val="nil"/>
              <w:left w:val="nil"/>
              <w:bottom w:val="single" w:sz="4" w:space="0" w:color="auto"/>
              <w:right w:val="nil"/>
            </w:tcBorders>
            <w:shd w:val="clear" w:color="auto" w:fill="auto"/>
            <w:noWrap/>
            <w:vAlign w:val="bottom"/>
            <w:hideMark/>
          </w:tcPr>
          <w:p w14:paraId="185DE0CE" w14:textId="77777777" w:rsidR="00437AF6" w:rsidRPr="00437AF6" w:rsidRDefault="00437AF6" w:rsidP="00437AF6">
            <w:pPr>
              <w:widowControl/>
              <w:autoSpaceDE/>
              <w:autoSpaceDN/>
              <w:adjustRightInd/>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6485FBC0"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1</w:t>
            </w:r>
          </w:p>
        </w:tc>
        <w:tc>
          <w:tcPr>
            <w:tcW w:w="0" w:type="auto"/>
            <w:tcBorders>
              <w:top w:val="nil"/>
              <w:left w:val="nil"/>
              <w:bottom w:val="single" w:sz="4" w:space="0" w:color="auto"/>
              <w:right w:val="nil"/>
            </w:tcBorders>
            <w:shd w:val="clear" w:color="auto" w:fill="auto"/>
            <w:noWrap/>
            <w:vAlign w:val="bottom"/>
            <w:hideMark/>
          </w:tcPr>
          <w:p w14:paraId="0317E871"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2</w:t>
            </w:r>
          </w:p>
        </w:tc>
        <w:tc>
          <w:tcPr>
            <w:tcW w:w="0" w:type="auto"/>
            <w:tcBorders>
              <w:top w:val="nil"/>
              <w:left w:val="nil"/>
              <w:bottom w:val="single" w:sz="4" w:space="0" w:color="auto"/>
              <w:right w:val="nil"/>
            </w:tcBorders>
            <w:shd w:val="clear" w:color="auto" w:fill="auto"/>
            <w:noWrap/>
            <w:vAlign w:val="bottom"/>
            <w:hideMark/>
          </w:tcPr>
          <w:p w14:paraId="473CFBE9"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3</w:t>
            </w:r>
          </w:p>
        </w:tc>
        <w:tc>
          <w:tcPr>
            <w:tcW w:w="0" w:type="auto"/>
            <w:tcBorders>
              <w:top w:val="nil"/>
              <w:left w:val="nil"/>
              <w:bottom w:val="single" w:sz="4" w:space="0" w:color="auto"/>
              <w:right w:val="nil"/>
            </w:tcBorders>
            <w:shd w:val="clear" w:color="auto" w:fill="auto"/>
            <w:noWrap/>
            <w:vAlign w:val="bottom"/>
            <w:hideMark/>
          </w:tcPr>
          <w:p w14:paraId="0998F0B8"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4</w:t>
            </w:r>
          </w:p>
        </w:tc>
        <w:tc>
          <w:tcPr>
            <w:tcW w:w="0" w:type="auto"/>
            <w:tcBorders>
              <w:top w:val="nil"/>
              <w:left w:val="nil"/>
              <w:bottom w:val="single" w:sz="4" w:space="0" w:color="auto"/>
              <w:right w:val="nil"/>
            </w:tcBorders>
            <w:shd w:val="clear" w:color="auto" w:fill="auto"/>
            <w:noWrap/>
            <w:vAlign w:val="bottom"/>
            <w:hideMark/>
          </w:tcPr>
          <w:p w14:paraId="4B576982"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5</w:t>
            </w:r>
          </w:p>
        </w:tc>
        <w:tc>
          <w:tcPr>
            <w:tcW w:w="0" w:type="auto"/>
            <w:tcBorders>
              <w:top w:val="nil"/>
              <w:left w:val="nil"/>
              <w:bottom w:val="single" w:sz="4" w:space="0" w:color="auto"/>
              <w:right w:val="nil"/>
            </w:tcBorders>
            <w:shd w:val="clear" w:color="auto" w:fill="auto"/>
            <w:noWrap/>
            <w:vAlign w:val="bottom"/>
            <w:hideMark/>
          </w:tcPr>
          <w:p w14:paraId="73776F93"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Más de 5</w:t>
            </w:r>
          </w:p>
        </w:tc>
        <w:tc>
          <w:tcPr>
            <w:tcW w:w="0" w:type="auto"/>
            <w:tcBorders>
              <w:top w:val="nil"/>
              <w:left w:val="nil"/>
              <w:bottom w:val="single" w:sz="4" w:space="0" w:color="auto"/>
              <w:right w:val="nil"/>
            </w:tcBorders>
            <w:shd w:val="clear" w:color="auto" w:fill="auto"/>
            <w:noWrap/>
            <w:vAlign w:val="bottom"/>
            <w:hideMark/>
          </w:tcPr>
          <w:p w14:paraId="480041F4" w14:textId="77777777" w:rsidR="00437AF6" w:rsidRPr="00437AF6" w:rsidRDefault="00437AF6" w:rsidP="00B77DEA">
            <w:pPr>
              <w:widowControl/>
              <w:autoSpaceDE/>
              <w:autoSpaceDN/>
              <w:adjustRightInd/>
              <w:spacing w:line="360" w:lineRule="auto"/>
              <w:jc w:val="center"/>
              <w:rPr>
                <w:rFonts w:ascii="Times New Roman" w:hAnsi="Times New Roman" w:cs="Times New Roman"/>
                <w:b/>
                <w:bCs/>
                <w:sz w:val="18"/>
                <w:szCs w:val="18"/>
              </w:rPr>
            </w:pPr>
            <w:r w:rsidRPr="00437AF6">
              <w:rPr>
                <w:rFonts w:ascii="Times New Roman" w:hAnsi="Times New Roman" w:cs="Times New Roman"/>
                <w:b/>
                <w:bCs/>
                <w:sz w:val="18"/>
                <w:szCs w:val="18"/>
              </w:rPr>
              <w:t>TOTAL</w:t>
            </w:r>
          </w:p>
        </w:tc>
      </w:tr>
      <w:tr w:rsidR="00C8275B" w:rsidRPr="0078792E" w14:paraId="28D5151B"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092CC94A"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Deudas a largo plazo</w:t>
            </w:r>
          </w:p>
        </w:tc>
        <w:tc>
          <w:tcPr>
            <w:tcW w:w="0" w:type="auto"/>
            <w:tcBorders>
              <w:top w:val="nil"/>
              <w:left w:val="nil"/>
              <w:bottom w:val="single" w:sz="4" w:space="0" w:color="auto"/>
              <w:right w:val="nil"/>
            </w:tcBorders>
            <w:shd w:val="clear" w:color="auto" w:fill="auto"/>
            <w:noWrap/>
            <w:vAlign w:val="center"/>
            <w:hideMark/>
          </w:tcPr>
          <w:p w14:paraId="1632D9B4"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7D67C3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A695D0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7226460"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D71B5BA"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E558E5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3427D7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r>
      <w:tr w:rsidR="00C8275B" w:rsidRPr="0078792E" w14:paraId="2E7F7652"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1197677C"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entidades de crédito</w:t>
            </w:r>
          </w:p>
        </w:tc>
        <w:tc>
          <w:tcPr>
            <w:tcW w:w="0" w:type="auto"/>
            <w:tcBorders>
              <w:top w:val="nil"/>
              <w:left w:val="nil"/>
              <w:bottom w:val="single" w:sz="4" w:space="0" w:color="auto"/>
              <w:right w:val="nil"/>
            </w:tcBorders>
            <w:shd w:val="clear" w:color="auto" w:fill="auto"/>
            <w:noWrap/>
            <w:vAlign w:val="center"/>
            <w:hideMark/>
          </w:tcPr>
          <w:p w14:paraId="7869ACC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91638F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9534E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B1C3AF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50F11E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E2E0A7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54E26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08FB2123" w14:textId="77777777" w:rsidTr="009A6F4A">
        <w:trPr>
          <w:trHeight w:val="251"/>
        </w:trPr>
        <w:tc>
          <w:tcPr>
            <w:tcW w:w="0" w:type="auto"/>
            <w:tcBorders>
              <w:top w:val="nil"/>
              <w:left w:val="nil"/>
              <w:bottom w:val="single" w:sz="4" w:space="0" w:color="auto"/>
              <w:right w:val="nil"/>
            </w:tcBorders>
            <w:shd w:val="clear" w:color="auto" w:fill="auto"/>
            <w:noWrap/>
            <w:vAlign w:val="center"/>
            <w:hideMark/>
          </w:tcPr>
          <w:p w14:paraId="6AEAF1E4"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Acreedores por arrendamiento financiero</w:t>
            </w:r>
          </w:p>
        </w:tc>
        <w:tc>
          <w:tcPr>
            <w:tcW w:w="0" w:type="auto"/>
            <w:tcBorders>
              <w:top w:val="nil"/>
              <w:left w:val="nil"/>
              <w:bottom w:val="single" w:sz="4" w:space="0" w:color="auto"/>
              <w:right w:val="nil"/>
            </w:tcBorders>
            <w:shd w:val="clear" w:color="auto" w:fill="auto"/>
            <w:noWrap/>
            <w:vAlign w:val="center"/>
            <w:hideMark/>
          </w:tcPr>
          <w:p w14:paraId="524EAA5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EE8D43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523412A"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487BEA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6A9D0B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BB8608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B5C24C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3C286C75" w14:textId="77777777" w:rsidTr="009A6F4A">
        <w:trPr>
          <w:trHeight w:val="330"/>
        </w:trPr>
        <w:tc>
          <w:tcPr>
            <w:tcW w:w="0" w:type="auto"/>
            <w:tcBorders>
              <w:top w:val="nil"/>
              <w:left w:val="nil"/>
              <w:bottom w:val="single" w:sz="4" w:space="0" w:color="auto"/>
              <w:right w:val="nil"/>
            </w:tcBorders>
            <w:shd w:val="clear" w:color="auto" w:fill="auto"/>
            <w:noWrap/>
            <w:vAlign w:val="center"/>
            <w:hideMark/>
          </w:tcPr>
          <w:p w14:paraId="2532FC74"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Otras deudas a largo plazo</w:t>
            </w:r>
          </w:p>
        </w:tc>
        <w:tc>
          <w:tcPr>
            <w:tcW w:w="0" w:type="auto"/>
            <w:tcBorders>
              <w:top w:val="nil"/>
              <w:left w:val="nil"/>
              <w:bottom w:val="single" w:sz="4" w:space="0" w:color="auto"/>
              <w:right w:val="nil"/>
            </w:tcBorders>
            <w:shd w:val="clear" w:color="auto" w:fill="auto"/>
            <w:noWrap/>
            <w:vAlign w:val="center"/>
            <w:hideMark/>
          </w:tcPr>
          <w:p w14:paraId="300BC59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EA7BDF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430A37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8FB350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82DA3C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9F20F5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76447AD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11D2FBBE"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75D597BF"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 xml:space="preserve">Deudas con </w:t>
            </w:r>
            <w:proofErr w:type="spellStart"/>
            <w:r w:rsidRPr="00437AF6">
              <w:rPr>
                <w:rFonts w:ascii="Times New Roman" w:hAnsi="Times New Roman" w:cs="Times New Roman"/>
                <w:b/>
                <w:bCs/>
                <w:sz w:val="18"/>
                <w:szCs w:val="18"/>
              </w:rPr>
              <w:t>emp</w:t>
            </w:r>
            <w:proofErr w:type="spellEnd"/>
            <w:r w:rsidRPr="00437AF6">
              <w:rPr>
                <w:rFonts w:ascii="Times New Roman" w:hAnsi="Times New Roman" w:cs="Times New Roman"/>
                <w:b/>
                <w:bCs/>
                <w:sz w:val="18"/>
                <w:szCs w:val="18"/>
              </w:rPr>
              <w:t>. Grupo y asociadas a largo plazo</w:t>
            </w:r>
          </w:p>
        </w:tc>
        <w:tc>
          <w:tcPr>
            <w:tcW w:w="0" w:type="auto"/>
            <w:tcBorders>
              <w:top w:val="nil"/>
              <w:left w:val="nil"/>
              <w:bottom w:val="single" w:sz="4" w:space="0" w:color="auto"/>
              <w:right w:val="nil"/>
            </w:tcBorders>
            <w:shd w:val="clear" w:color="auto" w:fill="auto"/>
            <w:noWrap/>
            <w:vAlign w:val="center"/>
            <w:hideMark/>
          </w:tcPr>
          <w:p w14:paraId="1E2B7306"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03E871BE"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0760413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12B2C7DB"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6FA9CD1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602E9FF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 </w:t>
            </w:r>
          </w:p>
        </w:tc>
        <w:tc>
          <w:tcPr>
            <w:tcW w:w="0" w:type="auto"/>
            <w:tcBorders>
              <w:top w:val="nil"/>
              <w:left w:val="nil"/>
              <w:bottom w:val="single" w:sz="4" w:space="0" w:color="auto"/>
              <w:right w:val="nil"/>
            </w:tcBorders>
            <w:shd w:val="clear" w:color="auto" w:fill="auto"/>
            <w:noWrap/>
            <w:vAlign w:val="center"/>
            <w:hideMark/>
          </w:tcPr>
          <w:p w14:paraId="77BC674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r>
      <w:tr w:rsidR="00C8275B" w:rsidRPr="0078792E" w14:paraId="0F5A949B"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66105FB1"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Deudas a corto plazo</w:t>
            </w:r>
          </w:p>
        </w:tc>
        <w:tc>
          <w:tcPr>
            <w:tcW w:w="0" w:type="auto"/>
            <w:tcBorders>
              <w:top w:val="nil"/>
              <w:left w:val="nil"/>
              <w:bottom w:val="single" w:sz="4" w:space="0" w:color="auto"/>
              <w:right w:val="nil"/>
            </w:tcBorders>
            <w:shd w:val="clear" w:color="auto" w:fill="auto"/>
            <w:noWrap/>
            <w:vAlign w:val="center"/>
            <w:hideMark/>
          </w:tcPr>
          <w:p w14:paraId="1D3407EF"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197.882,94</w:t>
            </w:r>
          </w:p>
        </w:tc>
        <w:tc>
          <w:tcPr>
            <w:tcW w:w="0" w:type="auto"/>
            <w:tcBorders>
              <w:top w:val="nil"/>
              <w:left w:val="nil"/>
              <w:bottom w:val="single" w:sz="4" w:space="0" w:color="auto"/>
              <w:right w:val="nil"/>
            </w:tcBorders>
            <w:shd w:val="clear" w:color="auto" w:fill="auto"/>
            <w:noWrap/>
            <w:vAlign w:val="center"/>
            <w:hideMark/>
          </w:tcPr>
          <w:p w14:paraId="70210E40"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3F2C907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BAE9ED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5114D43"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3CE006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0F20299"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197.882,94</w:t>
            </w:r>
          </w:p>
        </w:tc>
      </w:tr>
      <w:tr w:rsidR="00C8275B" w:rsidRPr="0078792E" w14:paraId="0AF505EB"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2103BCE0"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entidades de crédito</w:t>
            </w:r>
          </w:p>
        </w:tc>
        <w:tc>
          <w:tcPr>
            <w:tcW w:w="0" w:type="auto"/>
            <w:tcBorders>
              <w:top w:val="nil"/>
              <w:left w:val="nil"/>
              <w:bottom w:val="single" w:sz="4" w:space="0" w:color="auto"/>
              <w:right w:val="nil"/>
            </w:tcBorders>
            <w:shd w:val="clear" w:color="auto" w:fill="auto"/>
            <w:noWrap/>
            <w:vAlign w:val="center"/>
            <w:hideMark/>
          </w:tcPr>
          <w:p w14:paraId="2771AA8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30.000,00</w:t>
            </w:r>
          </w:p>
        </w:tc>
        <w:tc>
          <w:tcPr>
            <w:tcW w:w="0" w:type="auto"/>
            <w:tcBorders>
              <w:top w:val="nil"/>
              <w:left w:val="nil"/>
              <w:bottom w:val="single" w:sz="4" w:space="0" w:color="auto"/>
              <w:right w:val="nil"/>
            </w:tcBorders>
            <w:shd w:val="clear" w:color="auto" w:fill="auto"/>
            <w:noWrap/>
            <w:vAlign w:val="center"/>
            <w:hideMark/>
          </w:tcPr>
          <w:p w14:paraId="4EA8C08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AEE1A89"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B7CD56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F13D63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0ECBB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DAAC28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30.000,00</w:t>
            </w:r>
          </w:p>
        </w:tc>
      </w:tr>
      <w:tr w:rsidR="00C8275B" w:rsidRPr="0078792E" w14:paraId="61A5F421"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74F0B22E"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Acreedores por arrendamiento financiero</w:t>
            </w:r>
          </w:p>
        </w:tc>
        <w:tc>
          <w:tcPr>
            <w:tcW w:w="0" w:type="auto"/>
            <w:tcBorders>
              <w:top w:val="nil"/>
              <w:left w:val="nil"/>
              <w:bottom w:val="single" w:sz="4" w:space="0" w:color="auto"/>
              <w:right w:val="nil"/>
            </w:tcBorders>
            <w:shd w:val="clear" w:color="auto" w:fill="auto"/>
            <w:noWrap/>
            <w:vAlign w:val="center"/>
            <w:hideMark/>
          </w:tcPr>
          <w:p w14:paraId="50F0763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3F2E36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80BE48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B4BDD26"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86FD22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DEB3E2"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EA7AD0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76D74637"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3693893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Otras deudas a corto plazo</w:t>
            </w:r>
          </w:p>
        </w:tc>
        <w:tc>
          <w:tcPr>
            <w:tcW w:w="0" w:type="auto"/>
            <w:tcBorders>
              <w:top w:val="nil"/>
              <w:left w:val="nil"/>
              <w:bottom w:val="single" w:sz="4" w:space="0" w:color="auto"/>
              <w:right w:val="nil"/>
            </w:tcBorders>
            <w:shd w:val="clear" w:color="auto" w:fill="auto"/>
            <w:noWrap/>
            <w:vAlign w:val="center"/>
            <w:hideMark/>
          </w:tcPr>
          <w:p w14:paraId="55045DD8"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60.161,59</w:t>
            </w:r>
          </w:p>
        </w:tc>
        <w:tc>
          <w:tcPr>
            <w:tcW w:w="0" w:type="auto"/>
            <w:tcBorders>
              <w:top w:val="nil"/>
              <w:left w:val="nil"/>
              <w:bottom w:val="single" w:sz="4" w:space="0" w:color="auto"/>
              <w:right w:val="nil"/>
            </w:tcBorders>
            <w:shd w:val="clear" w:color="auto" w:fill="auto"/>
            <w:noWrap/>
            <w:vAlign w:val="center"/>
            <w:hideMark/>
          </w:tcPr>
          <w:p w14:paraId="2391174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0363F7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C2E18D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F7CC58D"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0B3A84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74CC2B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60.161,59</w:t>
            </w:r>
          </w:p>
        </w:tc>
      </w:tr>
      <w:tr w:rsidR="00C8275B" w:rsidRPr="0078792E" w14:paraId="148CEF33"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3BAD945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Deudas con empresas del grupo y asociadas a corto plazo</w:t>
            </w:r>
          </w:p>
        </w:tc>
        <w:tc>
          <w:tcPr>
            <w:tcW w:w="0" w:type="auto"/>
            <w:tcBorders>
              <w:top w:val="nil"/>
              <w:left w:val="nil"/>
              <w:bottom w:val="single" w:sz="4" w:space="0" w:color="auto"/>
              <w:right w:val="nil"/>
            </w:tcBorders>
            <w:shd w:val="clear" w:color="auto" w:fill="auto"/>
            <w:noWrap/>
            <w:vAlign w:val="center"/>
            <w:hideMark/>
          </w:tcPr>
          <w:p w14:paraId="0D2141F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107.721,35</w:t>
            </w:r>
          </w:p>
        </w:tc>
        <w:tc>
          <w:tcPr>
            <w:tcW w:w="0" w:type="auto"/>
            <w:tcBorders>
              <w:top w:val="nil"/>
              <w:left w:val="nil"/>
              <w:bottom w:val="single" w:sz="4" w:space="0" w:color="auto"/>
              <w:right w:val="nil"/>
            </w:tcBorders>
            <w:shd w:val="clear" w:color="auto" w:fill="auto"/>
            <w:noWrap/>
            <w:vAlign w:val="center"/>
            <w:hideMark/>
          </w:tcPr>
          <w:p w14:paraId="4FEBC76A"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34E19E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64592E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6229BA3"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8B99A9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36DC0DF"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107.721,35</w:t>
            </w:r>
          </w:p>
        </w:tc>
      </w:tr>
      <w:tr w:rsidR="00C8275B" w:rsidRPr="0078792E" w14:paraId="21FD90A3"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7DC1363D" w14:textId="77777777" w:rsidR="00437AF6" w:rsidRPr="00437AF6" w:rsidRDefault="00437AF6" w:rsidP="00437AF6">
            <w:pPr>
              <w:widowControl/>
              <w:autoSpaceDE/>
              <w:autoSpaceDN/>
              <w:adjustRightInd/>
              <w:rPr>
                <w:rFonts w:ascii="Times New Roman" w:hAnsi="Times New Roman" w:cs="Times New Roman"/>
                <w:b/>
                <w:bCs/>
                <w:sz w:val="18"/>
                <w:szCs w:val="18"/>
              </w:rPr>
            </w:pPr>
            <w:r w:rsidRPr="00437AF6">
              <w:rPr>
                <w:rFonts w:ascii="Times New Roman" w:hAnsi="Times New Roman" w:cs="Times New Roman"/>
                <w:b/>
                <w:bCs/>
                <w:sz w:val="18"/>
                <w:szCs w:val="18"/>
              </w:rPr>
              <w:t>Acreedores comerciales y otras cuentas a pagar</w:t>
            </w:r>
          </w:p>
        </w:tc>
        <w:tc>
          <w:tcPr>
            <w:tcW w:w="0" w:type="auto"/>
            <w:tcBorders>
              <w:top w:val="nil"/>
              <w:left w:val="nil"/>
              <w:bottom w:val="single" w:sz="4" w:space="0" w:color="auto"/>
              <w:right w:val="nil"/>
            </w:tcBorders>
            <w:shd w:val="clear" w:color="auto" w:fill="auto"/>
            <w:noWrap/>
            <w:vAlign w:val="center"/>
            <w:hideMark/>
          </w:tcPr>
          <w:p w14:paraId="784AC3A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4.880.960,86</w:t>
            </w:r>
          </w:p>
        </w:tc>
        <w:tc>
          <w:tcPr>
            <w:tcW w:w="0" w:type="auto"/>
            <w:tcBorders>
              <w:top w:val="nil"/>
              <w:left w:val="nil"/>
              <w:bottom w:val="single" w:sz="4" w:space="0" w:color="auto"/>
              <w:right w:val="nil"/>
            </w:tcBorders>
            <w:shd w:val="clear" w:color="auto" w:fill="auto"/>
            <w:noWrap/>
            <w:vAlign w:val="center"/>
            <w:hideMark/>
          </w:tcPr>
          <w:p w14:paraId="6740194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115D91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5E36E2BC"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AA51EC9"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2B9AF2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725E2D5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4.880.960,86</w:t>
            </w:r>
          </w:p>
        </w:tc>
      </w:tr>
      <w:tr w:rsidR="00C8275B" w:rsidRPr="0078792E" w14:paraId="0C89B5B2"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17A27BC8"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Proveedores</w:t>
            </w:r>
          </w:p>
        </w:tc>
        <w:tc>
          <w:tcPr>
            <w:tcW w:w="0" w:type="auto"/>
            <w:tcBorders>
              <w:top w:val="nil"/>
              <w:left w:val="nil"/>
              <w:bottom w:val="single" w:sz="4" w:space="0" w:color="auto"/>
              <w:right w:val="nil"/>
            </w:tcBorders>
            <w:shd w:val="clear" w:color="auto" w:fill="auto"/>
            <w:noWrap/>
            <w:vAlign w:val="center"/>
            <w:hideMark/>
          </w:tcPr>
          <w:p w14:paraId="4F7374D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B55ECAB"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4A65151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22E608D1"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6DECF305"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633F064"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19A03A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0,00</w:t>
            </w:r>
          </w:p>
        </w:tc>
      </w:tr>
      <w:tr w:rsidR="00C8275B" w:rsidRPr="0078792E" w14:paraId="5DBBD127"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1A0C135B" w14:textId="77777777" w:rsidR="00437AF6" w:rsidRPr="00437AF6" w:rsidRDefault="00437AF6" w:rsidP="00437AF6">
            <w:pPr>
              <w:widowControl/>
              <w:autoSpaceDE/>
              <w:autoSpaceDN/>
              <w:adjustRightInd/>
              <w:ind w:firstLineChars="300" w:firstLine="540"/>
              <w:rPr>
                <w:rFonts w:ascii="Times New Roman" w:hAnsi="Times New Roman" w:cs="Times New Roman"/>
                <w:sz w:val="18"/>
                <w:szCs w:val="18"/>
              </w:rPr>
            </w:pPr>
            <w:r w:rsidRPr="00437AF6">
              <w:rPr>
                <w:rFonts w:ascii="Times New Roman" w:hAnsi="Times New Roman" w:cs="Times New Roman"/>
                <w:sz w:val="18"/>
                <w:szCs w:val="18"/>
              </w:rPr>
              <w:t>Otros acreedores</w:t>
            </w:r>
          </w:p>
        </w:tc>
        <w:tc>
          <w:tcPr>
            <w:tcW w:w="0" w:type="auto"/>
            <w:tcBorders>
              <w:top w:val="nil"/>
              <w:left w:val="nil"/>
              <w:bottom w:val="single" w:sz="4" w:space="0" w:color="auto"/>
              <w:right w:val="nil"/>
            </w:tcBorders>
            <w:shd w:val="clear" w:color="auto" w:fill="auto"/>
            <w:noWrap/>
            <w:vAlign w:val="center"/>
            <w:hideMark/>
          </w:tcPr>
          <w:p w14:paraId="5C4F570C"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4.880.960,86</w:t>
            </w:r>
          </w:p>
        </w:tc>
        <w:tc>
          <w:tcPr>
            <w:tcW w:w="0" w:type="auto"/>
            <w:tcBorders>
              <w:top w:val="nil"/>
              <w:left w:val="nil"/>
              <w:bottom w:val="single" w:sz="4" w:space="0" w:color="auto"/>
              <w:right w:val="nil"/>
            </w:tcBorders>
            <w:shd w:val="clear" w:color="auto" w:fill="auto"/>
            <w:noWrap/>
            <w:vAlign w:val="center"/>
            <w:hideMark/>
          </w:tcPr>
          <w:p w14:paraId="6ACB466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1358DA4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52B99467"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347F1460"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0A3D825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center"/>
            <w:hideMark/>
          </w:tcPr>
          <w:p w14:paraId="74BEFB4E" w14:textId="77777777" w:rsidR="00437AF6" w:rsidRPr="00437AF6" w:rsidRDefault="00437AF6" w:rsidP="00437AF6">
            <w:pPr>
              <w:widowControl/>
              <w:autoSpaceDE/>
              <w:autoSpaceDN/>
              <w:adjustRightInd/>
              <w:jc w:val="center"/>
              <w:rPr>
                <w:rFonts w:ascii="Times New Roman" w:hAnsi="Times New Roman" w:cs="Times New Roman"/>
                <w:sz w:val="18"/>
                <w:szCs w:val="18"/>
              </w:rPr>
            </w:pPr>
            <w:r w:rsidRPr="00437AF6">
              <w:rPr>
                <w:rFonts w:ascii="Times New Roman" w:hAnsi="Times New Roman" w:cs="Times New Roman"/>
                <w:sz w:val="18"/>
                <w:szCs w:val="18"/>
              </w:rPr>
              <w:t>4.880.960,86</w:t>
            </w:r>
          </w:p>
        </w:tc>
      </w:tr>
      <w:tr w:rsidR="00C8275B" w:rsidRPr="0078792E" w14:paraId="32D245C8" w14:textId="77777777" w:rsidTr="009A6F4A">
        <w:trPr>
          <w:trHeight w:val="228"/>
        </w:trPr>
        <w:tc>
          <w:tcPr>
            <w:tcW w:w="0" w:type="auto"/>
            <w:tcBorders>
              <w:top w:val="nil"/>
              <w:left w:val="nil"/>
              <w:bottom w:val="single" w:sz="4" w:space="0" w:color="auto"/>
              <w:right w:val="nil"/>
            </w:tcBorders>
            <w:shd w:val="clear" w:color="auto" w:fill="auto"/>
            <w:noWrap/>
            <w:vAlign w:val="center"/>
            <w:hideMark/>
          </w:tcPr>
          <w:p w14:paraId="09539B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TOTAL</w:t>
            </w:r>
          </w:p>
        </w:tc>
        <w:tc>
          <w:tcPr>
            <w:tcW w:w="0" w:type="auto"/>
            <w:tcBorders>
              <w:top w:val="nil"/>
              <w:left w:val="nil"/>
              <w:bottom w:val="single" w:sz="4" w:space="0" w:color="auto"/>
              <w:right w:val="nil"/>
            </w:tcBorders>
            <w:shd w:val="clear" w:color="auto" w:fill="auto"/>
            <w:noWrap/>
            <w:vAlign w:val="center"/>
            <w:hideMark/>
          </w:tcPr>
          <w:p w14:paraId="67896716"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5.078.843,80</w:t>
            </w:r>
          </w:p>
        </w:tc>
        <w:tc>
          <w:tcPr>
            <w:tcW w:w="0" w:type="auto"/>
            <w:tcBorders>
              <w:top w:val="nil"/>
              <w:left w:val="nil"/>
              <w:bottom w:val="single" w:sz="4" w:space="0" w:color="auto"/>
              <w:right w:val="nil"/>
            </w:tcBorders>
            <w:shd w:val="clear" w:color="auto" w:fill="auto"/>
            <w:noWrap/>
            <w:vAlign w:val="center"/>
            <w:hideMark/>
          </w:tcPr>
          <w:p w14:paraId="1D44AC42"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6E911DB7"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502DE91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0C54220D"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12AB0885"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0,00</w:t>
            </w:r>
          </w:p>
        </w:tc>
        <w:tc>
          <w:tcPr>
            <w:tcW w:w="0" w:type="auto"/>
            <w:tcBorders>
              <w:top w:val="nil"/>
              <w:left w:val="nil"/>
              <w:bottom w:val="single" w:sz="4" w:space="0" w:color="auto"/>
              <w:right w:val="nil"/>
            </w:tcBorders>
            <w:shd w:val="clear" w:color="auto" w:fill="auto"/>
            <w:noWrap/>
            <w:vAlign w:val="center"/>
            <w:hideMark/>
          </w:tcPr>
          <w:p w14:paraId="467287D8" w14:textId="77777777" w:rsidR="00437AF6" w:rsidRPr="00437AF6" w:rsidRDefault="00437AF6" w:rsidP="00437AF6">
            <w:pPr>
              <w:widowControl/>
              <w:autoSpaceDE/>
              <w:autoSpaceDN/>
              <w:adjustRightInd/>
              <w:jc w:val="center"/>
              <w:rPr>
                <w:rFonts w:ascii="Times New Roman" w:hAnsi="Times New Roman" w:cs="Times New Roman"/>
                <w:b/>
                <w:bCs/>
                <w:sz w:val="18"/>
                <w:szCs w:val="18"/>
              </w:rPr>
            </w:pPr>
            <w:r w:rsidRPr="00437AF6">
              <w:rPr>
                <w:rFonts w:ascii="Times New Roman" w:hAnsi="Times New Roman" w:cs="Times New Roman"/>
                <w:b/>
                <w:bCs/>
                <w:sz w:val="18"/>
                <w:szCs w:val="18"/>
              </w:rPr>
              <w:t>5.078.843,80</w:t>
            </w:r>
          </w:p>
        </w:tc>
      </w:tr>
    </w:tbl>
    <w:p w14:paraId="6BD9A395" w14:textId="5A26EA6C" w:rsidR="00437AF6" w:rsidRDefault="00437AF6" w:rsidP="0007387A">
      <w:pPr>
        <w:widowControl/>
        <w:autoSpaceDE/>
        <w:autoSpaceDN/>
        <w:adjustRightInd/>
        <w:ind w:left="709"/>
        <w:jc w:val="both"/>
        <w:rPr>
          <w:rFonts w:ascii="Times New Roman" w:hAnsi="Times New Roman" w:cs="Times New Roman"/>
          <w:b/>
          <w:spacing w:val="-2"/>
          <w:sz w:val="22"/>
          <w:szCs w:val="22"/>
          <w:lang w:val="es-ES_tradnl" w:eastAsia="es-ES_tradnl"/>
        </w:rPr>
      </w:pPr>
    </w:p>
    <w:p w14:paraId="7EC696FE" w14:textId="1EE52632" w:rsidR="006C0067" w:rsidRPr="00C8275B" w:rsidRDefault="00714748" w:rsidP="00934221">
      <w:pPr>
        <w:shd w:val="clear" w:color="auto" w:fill="FFFFFF"/>
        <w:spacing w:before="240"/>
        <w:ind w:firstLine="709"/>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lastRenderedPageBreak/>
        <w:t>B.</w:t>
      </w:r>
      <w:r w:rsidR="000B2B72" w:rsidRPr="00C8275B">
        <w:rPr>
          <w:rFonts w:ascii="Times New Roman" w:hAnsi="Times New Roman" w:cs="Times New Roman"/>
          <w:b/>
          <w:spacing w:val="-3"/>
          <w:sz w:val="22"/>
          <w:szCs w:val="22"/>
          <w:lang w:val="es-ES_tradnl" w:eastAsia="es-ES_tradnl"/>
        </w:rPr>
        <w:t>3</w:t>
      </w:r>
      <w:r w:rsidRPr="00C8275B">
        <w:rPr>
          <w:rFonts w:ascii="Times New Roman" w:hAnsi="Times New Roman" w:cs="Times New Roman"/>
          <w:b/>
          <w:spacing w:val="-3"/>
          <w:sz w:val="22"/>
          <w:szCs w:val="22"/>
          <w:lang w:val="es-ES_tradnl" w:eastAsia="es-ES_tradnl"/>
        </w:rPr>
        <w:t>.</w:t>
      </w:r>
      <w:r w:rsidR="006C0067" w:rsidRPr="00C8275B">
        <w:rPr>
          <w:rFonts w:ascii="Times New Roman" w:hAnsi="Times New Roman" w:cs="Times New Roman"/>
          <w:b/>
          <w:spacing w:val="-3"/>
          <w:sz w:val="22"/>
          <w:szCs w:val="22"/>
          <w:lang w:val="es-ES_tradnl" w:eastAsia="es-ES_tradnl"/>
        </w:rPr>
        <w:t xml:space="preserve"> Otros pasivos financieros:</w:t>
      </w:r>
    </w:p>
    <w:p w14:paraId="239B81BD" w14:textId="392E79EF" w:rsidR="006C0067" w:rsidRPr="00C8275B" w:rsidRDefault="006C0067" w:rsidP="00934221">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Los pasivos financieros clasificados como </w:t>
      </w:r>
      <w:r w:rsidR="00127FEB" w:rsidRPr="00C8275B">
        <w:rPr>
          <w:rFonts w:ascii="Times New Roman" w:hAnsi="Times New Roman" w:cs="Times New Roman"/>
          <w:spacing w:val="-3"/>
          <w:sz w:val="22"/>
          <w:szCs w:val="22"/>
          <w:lang w:val="es-ES_tradnl" w:eastAsia="es-ES_tradnl"/>
        </w:rPr>
        <w:t>“</w:t>
      </w:r>
      <w:r w:rsidR="00884FA1" w:rsidRPr="00C8275B">
        <w:rPr>
          <w:rFonts w:ascii="Times New Roman" w:hAnsi="Times New Roman" w:cs="Times New Roman"/>
          <w:spacing w:val="-3"/>
          <w:sz w:val="22"/>
          <w:szCs w:val="22"/>
          <w:lang w:val="es-ES_tradnl" w:eastAsia="es-ES_tradnl"/>
        </w:rPr>
        <w:t>Otros acreedores</w:t>
      </w:r>
      <w:r w:rsidR="00127FE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corresponden en su mayoría a saldos con acreedores por operaciones comerciales a corto plazo</w:t>
      </w:r>
      <w:r w:rsidR="00127FE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que no devengan ningún tipo de interés y se encuentran valorados a precio de coste.</w:t>
      </w:r>
    </w:p>
    <w:p w14:paraId="1FCD060E" w14:textId="12373E36" w:rsidR="001D2E73"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4</w:t>
      </w:r>
      <w:r w:rsidR="000576A2" w:rsidRPr="00C8275B">
        <w:rPr>
          <w:rFonts w:ascii="Times New Roman" w:hAnsi="Times New Roman" w:cs="Times New Roman"/>
          <w:b/>
          <w:spacing w:val="-3"/>
          <w:sz w:val="22"/>
          <w:szCs w:val="22"/>
          <w:lang w:val="es-ES_tradnl" w:eastAsia="es-ES_tradnl"/>
        </w:rPr>
        <w:t>.</w:t>
      </w:r>
      <w:r w:rsidR="00F07068" w:rsidRPr="00C8275B">
        <w:rPr>
          <w:rFonts w:ascii="Times New Roman" w:hAnsi="Times New Roman" w:cs="Times New Roman"/>
          <w:b/>
          <w:spacing w:val="-3"/>
          <w:sz w:val="22"/>
          <w:szCs w:val="22"/>
          <w:lang w:val="es-ES_tradnl" w:eastAsia="es-ES_tradnl"/>
        </w:rPr>
        <w:t xml:space="preserve"> Deudas con entidades de crédito y deudas con garantía real</w:t>
      </w:r>
    </w:p>
    <w:p w14:paraId="312EFF69" w14:textId="77777777" w:rsidR="004816DD" w:rsidRDefault="004816DD" w:rsidP="00541E56">
      <w:pPr>
        <w:pStyle w:val="Default"/>
        <w:ind w:left="709"/>
        <w:jc w:val="both"/>
        <w:rPr>
          <w:rFonts w:ascii="Times New Roman" w:hAnsi="Times New Roman" w:cs="Times New Roman"/>
          <w:b/>
          <w:bCs/>
          <w:color w:val="auto"/>
          <w:spacing w:val="-3"/>
          <w:sz w:val="22"/>
          <w:szCs w:val="22"/>
          <w:lang w:val="es-ES_tradnl" w:eastAsia="es-ES_tradnl"/>
        </w:rPr>
      </w:pPr>
    </w:p>
    <w:p w14:paraId="3EFF3EE1" w14:textId="41172D3B" w:rsidR="00541E56" w:rsidRPr="00541E56" w:rsidRDefault="00541E56" w:rsidP="00541E56">
      <w:pPr>
        <w:pStyle w:val="Default"/>
        <w:ind w:left="709"/>
        <w:jc w:val="both"/>
        <w:rPr>
          <w:rFonts w:ascii="Times New Roman" w:hAnsi="Times New Roman" w:cs="Times New Roman"/>
          <w:b/>
          <w:bCs/>
          <w:color w:val="auto"/>
          <w:spacing w:val="-3"/>
          <w:sz w:val="22"/>
          <w:szCs w:val="22"/>
          <w:lang w:val="es-ES_tradnl" w:eastAsia="es-ES_tradnl"/>
        </w:rPr>
      </w:pPr>
      <w:r w:rsidRPr="00541E56">
        <w:rPr>
          <w:rFonts w:ascii="Times New Roman" w:hAnsi="Times New Roman" w:cs="Times New Roman"/>
          <w:b/>
          <w:bCs/>
          <w:color w:val="auto"/>
          <w:spacing w:val="-3"/>
          <w:sz w:val="22"/>
          <w:szCs w:val="22"/>
          <w:lang w:val="es-ES_tradnl" w:eastAsia="es-ES_tradnl"/>
        </w:rPr>
        <w:t>Deudas con entidades de crédito:</w:t>
      </w:r>
    </w:p>
    <w:p w14:paraId="611C14E1" w14:textId="77777777" w:rsidR="00541E56" w:rsidRPr="00541E56" w:rsidRDefault="00541E56" w:rsidP="00541E56">
      <w:pPr>
        <w:pStyle w:val="Default"/>
        <w:jc w:val="both"/>
        <w:rPr>
          <w:rFonts w:ascii="Times New Roman" w:hAnsi="Times New Roman" w:cs="Times New Roman"/>
          <w:color w:val="auto"/>
          <w:spacing w:val="-3"/>
          <w:sz w:val="22"/>
          <w:szCs w:val="22"/>
          <w:lang w:val="es-ES_tradnl" w:eastAsia="es-ES_tradnl"/>
        </w:rPr>
      </w:pPr>
    </w:p>
    <w:p w14:paraId="0D59DF19" w14:textId="00555800" w:rsidR="00541E56" w:rsidRDefault="00541E56" w:rsidP="00541E56">
      <w:pPr>
        <w:pStyle w:val="Default"/>
        <w:ind w:left="709"/>
        <w:jc w:val="both"/>
        <w:rPr>
          <w:rFonts w:ascii="Times New Roman" w:hAnsi="Times New Roman" w:cs="Times New Roman"/>
          <w:color w:val="auto"/>
          <w:spacing w:val="-3"/>
          <w:sz w:val="22"/>
          <w:szCs w:val="22"/>
          <w:lang w:val="es-ES_tradnl" w:eastAsia="es-ES_tradnl"/>
        </w:rPr>
      </w:pPr>
      <w:r w:rsidRPr="00541E56">
        <w:rPr>
          <w:rFonts w:ascii="Times New Roman" w:hAnsi="Times New Roman" w:cs="Times New Roman"/>
          <w:color w:val="auto"/>
          <w:spacing w:val="-3"/>
          <w:sz w:val="22"/>
          <w:szCs w:val="22"/>
          <w:lang w:val="es-ES_tradnl" w:eastAsia="es-ES_tradnl"/>
        </w:rPr>
        <w:t>Los pasivos financieros con entidades de crédito corresponden a:</w:t>
      </w:r>
    </w:p>
    <w:p w14:paraId="651DA82D" w14:textId="3DC9BEAF" w:rsidR="006B4695" w:rsidRDefault="006B4695" w:rsidP="00541E56">
      <w:pPr>
        <w:pStyle w:val="Default"/>
        <w:ind w:left="709"/>
        <w:jc w:val="both"/>
        <w:rPr>
          <w:rFonts w:ascii="Times New Roman" w:hAnsi="Times New Roman" w:cs="Times New Roman"/>
          <w:color w:val="auto"/>
          <w:spacing w:val="-3"/>
          <w:sz w:val="22"/>
          <w:szCs w:val="22"/>
          <w:lang w:val="es-ES_tradnl" w:eastAsia="es-ES_tradnl"/>
        </w:rPr>
      </w:pPr>
    </w:p>
    <w:tbl>
      <w:tblPr>
        <w:tblW w:w="5091" w:type="dxa"/>
        <w:jc w:val="center"/>
        <w:tblCellMar>
          <w:left w:w="70" w:type="dxa"/>
          <w:right w:w="70" w:type="dxa"/>
        </w:tblCellMar>
        <w:tblLook w:val="04A0" w:firstRow="1" w:lastRow="0" w:firstColumn="1" w:lastColumn="0" w:noHBand="0" w:noVBand="1"/>
      </w:tblPr>
      <w:tblGrid>
        <w:gridCol w:w="2419"/>
        <w:gridCol w:w="1336"/>
        <w:gridCol w:w="1336"/>
      </w:tblGrid>
      <w:tr w:rsidR="006B4695" w:rsidRPr="00B3369E" w14:paraId="2BE0C89A" w14:textId="77777777" w:rsidTr="006B4695">
        <w:trPr>
          <w:trHeight w:val="300"/>
          <w:jc w:val="center"/>
        </w:trPr>
        <w:tc>
          <w:tcPr>
            <w:tcW w:w="2419" w:type="dxa"/>
            <w:tcBorders>
              <w:top w:val="single" w:sz="4" w:space="0" w:color="auto"/>
              <w:left w:val="nil"/>
              <w:bottom w:val="single" w:sz="4" w:space="0" w:color="auto"/>
              <w:right w:val="nil"/>
            </w:tcBorders>
            <w:shd w:val="clear" w:color="auto" w:fill="auto"/>
            <w:noWrap/>
            <w:vAlign w:val="center"/>
            <w:hideMark/>
          </w:tcPr>
          <w:p w14:paraId="7F59F8DB"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 </w:t>
            </w:r>
          </w:p>
        </w:tc>
        <w:tc>
          <w:tcPr>
            <w:tcW w:w="1336" w:type="dxa"/>
            <w:tcBorders>
              <w:top w:val="single" w:sz="4" w:space="0" w:color="auto"/>
              <w:left w:val="nil"/>
              <w:bottom w:val="single" w:sz="4" w:space="0" w:color="auto"/>
              <w:right w:val="nil"/>
            </w:tcBorders>
            <w:shd w:val="clear" w:color="auto" w:fill="auto"/>
            <w:noWrap/>
            <w:vAlign w:val="center"/>
            <w:hideMark/>
          </w:tcPr>
          <w:p w14:paraId="39ACED5C"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sz w:val="18"/>
                <w:szCs w:val="18"/>
              </w:rPr>
              <w:t>2022</w:t>
            </w:r>
          </w:p>
        </w:tc>
        <w:tc>
          <w:tcPr>
            <w:tcW w:w="1336" w:type="dxa"/>
            <w:tcBorders>
              <w:top w:val="single" w:sz="4" w:space="0" w:color="auto"/>
              <w:left w:val="nil"/>
              <w:bottom w:val="single" w:sz="4" w:space="0" w:color="auto"/>
              <w:right w:val="nil"/>
            </w:tcBorders>
            <w:shd w:val="clear" w:color="auto" w:fill="auto"/>
            <w:noWrap/>
            <w:vAlign w:val="center"/>
            <w:hideMark/>
          </w:tcPr>
          <w:p w14:paraId="3A1AA961"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sz w:val="18"/>
                <w:szCs w:val="18"/>
              </w:rPr>
              <w:t>2021</w:t>
            </w:r>
          </w:p>
        </w:tc>
      </w:tr>
      <w:tr w:rsidR="006B4695" w:rsidRPr="00B3369E" w14:paraId="7E3D96AE" w14:textId="77777777" w:rsidTr="006B4695">
        <w:trPr>
          <w:trHeight w:val="300"/>
          <w:jc w:val="center"/>
        </w:trPr>
        <w:tc>
          <w:tcPr>
            <w:tcW w:w="2419" w:type="dxa"/>
            <w:tcBorders>
              <w:top w:val="nil"/>
              <w:left w:val="nil"/>
              <w:bottom w:val="single" w:sz="4" w:space="0" w:color="auto"/>
              <w:right w:val="nil"/>
            </w:tcBorders>
            <w:shd w:val="clear" w:color="auto" w:fill="auto"/>
            <w:noWrap/>
            <w:vAlign w:val="center"/>
            <w:hideMark/>
          </w:tcPr>
          <w:p w14:paraId="697C9808" w14:textId="77777777" w:rsidR="006B4695" w:rsidRPr="00B3369E" w:rsidRDefault="006B4695" w:rsidP="006B4695">
            <w:pPr>
              <w:widowControl/>
              <w:autoSpaceDE/>
              <w:autoSpaceDN/>
              <w:adjustRightInd/>
              <w:rPr>
                <w:rFonts w:ascii="Times New Roman" w:hAnsi="Times New Roman" w:cs="Times New Roman"/>
                <w:color w:val="000000"/>
                <w:sz w:val="18"/>
                <w:szCs w:val="18"/>
              </w:rPr>
            </w:pPr>
            <w:r w:rsidRPr="00B3369E">
              <w:rPr>
                <w:rFonts w:ascii="Times New Roman" w:hAnsi="Times New Roman" w:cs="Times New Roman"/>
                <w:color w:val="000000"/>
                <w:sz w:val="18"/>
                <w:szCs w:val="18"/>
              </w:rPr>
              <w:t>Descuento financiero</w:t>
            </w:r>
          </w:p>
        </w:tc>
        <w:tc>
          <w:tcPr>
            <w:tcW w:w="1336" w:type="dxa"/>
            <w:tcBorders>
              <w:top w:val="nil"/>
              <w:left w:val="nil"/>
              <w:bottom w:val="single" w:sz="4" w:space="0" w:color="auto"/>
              <w:right w:val="nil"/>
            </w:tcBorders>
            <w:shd w:val="clear" w:color="auto" w:fill="auto"/>
            <w:noWrap/>
            <w:vAlign w:val="center"/>
            <w:hideMark/>
          </w:tcPr>
          <w:p w14:paraId="6BE14DCF" w14:textId="77777777" w:rsidR="006B4695" w:rsidRPr="00B3369E" w:rsidRDefault="006B4695" w:rsidP="006B4695">
            <w:pPr>
              <w:widowControl/>
              <w:autoSpaceDE/>
              <w:autoSpaceDN/>
              <w:adjustRightInd/>
              <w:jc w:val="center"/>
              <w:rPr>
                <w:rFonts w:ascii="Times New Roman" w:hAnsi="Times New Roman" w:cs="Times New Roman"/>
                <w:color w:val="000000"/>
                <w:sz w:val="18"/>
                <w:szCs w:val="18"/>
              </w:rPr>
            </w:pPr>
            <w:r w:rsidRPr="00B3369E">
              <w:rPr>
                <w:rFonts w:ascii="Times New Roman" w:hAnsi="Times New Roman" w:cs="Times New Roman"/>
                <w:color w:val="000000"/>
                <w:sz w:val="18"/>
                <w:szCs w:val="18"/>
              </w:rPr>
              <w:t>30.000,00</w:t>
            </w:r>
          </w:p>
        </w:tc>
        <w:tc>
          <w:tcPr>
            <w:tcW w:w="1336" w:type="dxa"/>
            <w:tcBorders>
              <w:top w:val="nil"/>
              <w:left w:val="nil"/>
              <w:bottom w:val="single" w:sz="4" w:space="0" w:color="auto"/>
              <w:right w:val="nil"/>
            </w:tcBorders>
            <w:shd w:val="clear" w:color="auto" w:fill="auto"/>
            <w:noWrap/>
            <w:vAlign w:val="center"/>
            <w:hideMark/>
          </w:tcPr>
          <w:p w14:paraId="3D72F569" w14:textId="77777777" w:rsidR="006B4695" w:rsidRPr="00B3369E" w:rsidRDefault="006B4695" w:rsidP="006B4695">
            <w:pPr>
              <w:widowControl/>
              <w:autoSpaceDE/>
              <w:autoSpaceDN/>
              <w:adjustRightInd/>
              <w:jc w:val="center"/>
              <w:rPr>
                <w:rFonts w:ascii="Times New Roman" w:hAnsi="Times New Roman" w:cs="Times New Roman"/>
                <w:color w:val="000000"/>
                <w:sz w:val="18"/>
                <w:szCs w:val="18"/>
              </w:rPr>
            </w:pPr>
            <w:r w:rsidRPr="00B3369E">
              <w:rPr>
                <w:rFonts w:ascii="Times New Roman" w:hAnsi="Times New Roman" w:cs="Times New Roman"/>
                <w:color w:val="000000"/>
                <w:sz w:val="18"/>
                <w:szCs w:val="18"/>
              </w:rPr>
              <w:t>0,00</w:t>
            </w:r>
          </w:p>
        </w:tc>
      </w:tr>
      <w:tr w:rsidR="006B4695" w:rsidRPr="00B3369E" w14:paraId="37E56CBD" w14:textId="77777777" w:rsidTr="006B4695">
        <w:trPr>
          <w:trHeight w:val="300"/>
          <w:jc w:val="center"/>
        </w:trPr>
        <w:tc>
          <w:tcPr>
            <w:tcW w:w="2419" w:type="dxa"/>
            <w:tcBorders>
              <w:top w:val="nil"/>
              <w:left w:val="nil"/>
              <w:bottom w:val="single" w:sz="4" w:space="0" w:color="auto"/>
              <w:right w:val="nil"/>
            </w:tcBorders>
            <w:shd w:val="clear" w:color="auto" w:fill="auto"/>
            <w:noWrap/>
            <w:vAlign w:val="center"/>
            <w:hideMark/>
          </w:tcPr>
          <w:p w14:paraId="1BCA93BD"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 xml:space="preserve">  TOTAL</w:t>
            </w:r>
          </w:p>
        </w:tc>
        <w:tc>
          <w:tcPr>
            <w:tcW w:w="1336" w:type="dxa"/>
            <w:tcBorders>
              <w:top w:val="nil"/>
              <w:left w:val="nil"/>
              <w:bottom w:val="single" w:sz="4" w:space="0" w:color="auto"/>
              <w:right w:val="nil"/>
            </w:tcBorders>
            <w:shd w:val="clear" w:color="auto" w:fill="auto"/>
            <w:noWrap/>
            <w:vAlign w:val="center"/>
            <w:hideMark/>
          </w:tcPr>
          <w:p w14:paraId="45927D52"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30.000,00</w:t>
            </w:r>
          </w:p>
        </w:tc>
        <w:tc>
          <w:tcPr>
            <w:tcW w:w="1336" w:type="dxa"/>
            <w:tcBorders>
              <w:top w:val="nil"/>
              <w:left w:val="nil"/>
              <w:bottom w:val="single" w:sz="4" w:space="0" w:color="auto"/>
              <w:right w:val="nil"/>
            </w:tcBorders>
            <w:shd w:val="clear" w:color="auto" w:fill="auto"/>
            <w:noWrap/>
            <w:vAlign w:val="center"/>
            <w:hideMark/>
          </w:tcPr>
          <w:p w14:paraId="1FDE8D74" w14:textId="77777777" w:rsidR="006B4695" w:rsidRPr="00B3369E" w:rsidRDefault="006B4695" w:rsidP="006B4695">
            <w:pPr>
              <w:widowControl/>
              <w:autoSpaceDE/>
              <w:autoSpaceDN/>
              <w:adjustRightInd/>
              <w:jc w:val="center"/>
              <w:rPr>
                <w:rFonts w:ascii="Times New Roman" w:hAnsi="Times New Roman" w:cs="Times New Roman"/>
                <w:b/>
                <w:bCs/>
                <w:color w:val="000000"/>
                <w:sz w:val="18"/>
                <w:szCs w:val="18"/>
              </w:rPr>
            </w:pPr>
            <w:r w:rsidRPr="00B3369E">
              <w:rPr>
                <w:rFonts w:ascii="Times New Roman" w:hAnsi="Times New Roman" w:cs="Times New Roman"/>
                <w:b/>
                <w:bCs/>
                <w:color w:val="000000"/>
                <w:sz w:val="18"/>
                <w:szCs w:val="18"/>
              </w:rPr>
              <w:t>0,00</w:t>
            </w:r>
          </w:p>
        </w:tc>
      </w:tr>
    </w:tbl>
    <w:p w14:paraId="7FA51CDB" w14:textId="7C51033A" w:rsidR="006B4695" w:rsidRDefault="006B4695" w:rsidP="00541E56">
      <w:pPr>
        <w:pStyle w:val="Default"/>
        <w:ind w:left="709"/>
        <w:jc w:val="both"/>
        <w:rPr>
          <w:rFonts w:ascii="Times New Roman" w:hAnsi="Times New Roman" w:cs="Times New Roman"/>
          <w:color w:val="auto"/>
          <w:spacing w:val="-3"/>
          <w:sz w:val="22"/>
          <w:szCs w:val="22"/>
          <w:lang w:val="es-ES_tradnl" w:eastAsia="es-ES_tradnl"/>
        </w:rPr>
      </w:pPr>
    </w:p>
    <w:p w14:paraId="2EAF5DAF" w14:textId="77777777" w:rsidR="008502F8" w:rsidRDefault="0011452C" w:rsidP="00BB6E99">
      <w:pPr>
        <w:tabs>
          <w:tab w:val="left" w:pos="-720"/>
        </w:tabs>
        <w:suppressAutoHyphens/>
        <w:ind w:left="709" w:right="-26"/>
        <w:jc w:val="both"/>
        <w:rPr>
          <w:rFonts w:ascii="Times New Roman" w:hAnsi="Times New Roman" w:cs="Times New Roman"/>
          <w:spacing w:val="-3"/>
          <w:sz w:val="22"/>
          <w:szCs w:val="22"/>
          <w:lang w:val="es-ES_tradnl" w:eastAsia="es-ES_tradnl"/>
        </w:rPr>
      </w:pPr>
      <w:r>
        <w:rPr>
          <w:rFonts w:ascii="Times New Roman" w:hAnsi="Times New Roman" w:cs="Times New Roman"/>
          <w:spacing w:val="-3"/>
          <w:sz w:val="22"/>
          <w:szCs w:val="22"/>
          <w:lang w:val="es-ES_tradnl" w:eastAsia="es-ES_tradnl"/>
        </w:rPr>
        <w:t>El</w:t>
      </w:r>
      <w:r w:rsidRPr="0011452C">
        <w:rPr>
          <w:rFonts w:ascii="Times New Roman" w:hAnsi="Times New Roman" w:cs="Times New Roman"/>
          <w:spacing w:val="-3"/>
          <w:sz w:val="22"/>
          <w:szCs w:val="22"/>
          <w:lang w:val="es-ES_tradnl" w:eastAsia="es-ES_tradnl"/>
        </w:rPr>
        <w:t xml:space="preserve"> tipo medios de interés nominal</w:t>
      </w:r>
      <w:r>
        <w:rPr>
          <w:rFonts w:ascii="Times New Roman" w:hAnsi="Times New Roman" w:cs="Times New Roman"/>
          <w:spacing w:val="-3"/>
          <w:sz w:val="22"/>
          <w:szCs w:val="22"/>
          <w:lang w:val="es-ES_tradnl" w:eastAsia="es-ES_tradnl"/>
        </w:rPr>
        <w:t xml:space="preserve"> del </w:t>
      </w:r>
      <w:r w:rsidR="008502F8">
        <w:rPr>
          <w:rFonts w:ascii="Times New Roman" w:hAnsi="Times New Roman" w:cs="Times New Roman"/>
          <w:spacing w:val="-3"/>
          <w:sz w:val="22"/>
          <w:szCs w:val="22"/>
          <w:lang w:val="es-ES_tradnl" w:eastAsia="es-ES_tradnl"/>
        </w:rPr>
        <w:t xml:space="preserve">descuento financiero </w:t>
      </w:r>
      <w:r>
        <w:rPr>
          <w:rFonts w:ascii="Times New Roman" w:hAnsi="Times New Roman" w:cs="Times New Roman"/>
          <w:spacing w:val="-3"/>
          <w:sz w:val="22"/>
          <w:szCs w:val="22"/>
          <w:lang w:val="es-ES_tradnl" w:eastAsia="es-ES_tradnl"/>
        </w:rPr>
        <w:t>es del 5,250% y su vencimiento</w:t>
      </w:r>
      <w:r w:rsidR="008502F8">
        <w:rPr>
          <w:rFonts w:ascii="Times New Roman" w:hAnsi="Times New Roman" w:cs="Times New Roman"/>
          <w:spacing w:val="-3"/>
          <w:sz w:val="22"/>
          <w:szCs w:val="22"/>
          <w:lang w:val="es-ES_tradnl" w:eastAsia="es-ES_tradnl"/>
        </w:rPr>
        <w:t xml:space="preserve"> </w:t>
      </w:r>
      <w:r>
        <w:rPr>
          <w:rFonts w:ascii="Times New Roman" w:hAnsi="Times New Roman" w:cs="Times New Roman"/>
          <w:spacing w:val="-3"/>
          <w:sz w:val="22"/>
          <w:szCs w:val="22"/>
          <w:lang w:val="es-ES_tradnl" w:eastAsia="es-ES_tradnl"/>
        </w:rPr>
        <w:t>el 25 de enero de 2023.</w:t>
      </w:r>
    </w:p>
    <w:p w14:paraId="46D8A76C" w14:textId="77777777" w:rsidR="008502F8" w:rsidRDefault="008502F8" w:rsidP="008502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76E0B20" w14:textId="18A9D838" w:rsidR="00F07068" w:rsidRPr="00541E56" w:rsidRDefault="00F07068" w:rsidP="008502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541E56">
        <w:rPr>
          <w:rFonts w:ascii="Times New Roman" w:hAnsi="Times New Roman" w:cs="Times New Roman"/>
          <w:spacing w:val="-3"/>
          <w:sz w:val="22"/>
          <w:szCs w:val="22"/>
          <w:lang w:val="es-ES_tradnl" w:eastAsia="es-ES_tradnl"/>
        </w:rPr>
        <w:t>La entidad no posee deudas con garantía real.</w:t>
      </w:r>
    </w:p>
    <w:p w14:paraId="73AD7B67" w14:textId="77777777" w:rsidR="001D667B" w:rsidRPr="00C8275B" w:rsidRDefault="001D667B"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16401C5" w14:textId="32A84B54" w:rsidR="001D667B" w:rsidRPr="00C8275B" w:rsidRDefault="001D667B"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Al término de los ejercicios </w:t>
      </w:r>
      <w:r w:rsidR="00C044AA"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y </w:t>
      </w:r>
      <w:r w:rsidR="00C044AA" w:rsidRPr="00C8275B">
        <w:rPr>
          <w:rFonts w:ascii="Times New Roman" w:hAnsi="Times New Roman" w:cs="Times New Roman"/>
          <w:spacing w:val="-3"/>
          <w:sz w:val="22"/>
          <w:szCs w:val="22"/>
          <w:lang w:val="es-ES_tradnl" w:eastAsia="es-ES_tradnl"/>
        </w:rPr>
        <w:t>2021</w:t>
      </w:r>
      <w:r w:rsidRPr="00C8275B">
        <w:rPr>
          <w:rFonts w:ascii="Times New Roman" w:hAnsi="Times New Roman" w:cs="Times New Roman"/>
          <w:spacing w:val="-3"/>
          <w:sz w:val="22"/>
          <w:szCs w:val="22"/>
          <w:lang w:val="es-ES_tradnl" w:eastAsia="es-ES_tradnl"/>
        </w:rPr>
        <w:t xml:space="preserve">, los importes de riesgo dispuesto con entidades financieras por tipo de producto/operación </w:t>
      </w:r>
      <w:r w:rsidR="00D11E12" w:rsidRPr="00C8275B">
        <w:rPr>
          <w:rFonts w:ascii="Times New Roman" w:hAnsi="Times New Roman" w:cs="Times New Roman"/>
          <w:spacing w:val="-3"/>
          <w:sz w:val="22"/>
          <w:szCs w:val="22"/>
          <w:lang w:val="es-ES_tradnl" w:eastAsia="es-ES_tradnl"/>
        </w:rPr>
        <w:t>s</w:t>
      </w:r>
      <w:r w:rsidRPr="00C8275B">
        <w:rPr>
          <w:rFonts w:ascii="Times New Roman" w:hAnsi="Times New Roman" w:cs="Times New Roman"/>
          <w:spacing w:val="-3"/>
          <w:sz w:val="22"/>
          <w:szCs w:val="22"/>
          <w:lang w:val="es-ES_tradnl" w:eastAsia="es-ES_tradnl"/>
        </w:rPr>
        <w:t>e detalla</w:t>
      </w:r>
      <w:r w:rsidR="00140F4C" w:rsidRPr="00C8275B">
        <w:rPr>
          <w:rFonts w:ascii="Times New Roman" w:hAnsi="Times New Roman" w:cs="Times New Roman"/>
          <w:spacing w:val="-3"/>
          <w:sz w:val="22"/>
          <w:szCs w:val="22"/>
          <w:lang w:val="es-ES_tradnl" w:eastAsia="es-ES_tradnl"/>
        </w:rPr>
        <w:t>n</w:t>
      </w:r>
      <w:r w:rsidRPr="00C8275B">
        <w:rPr>
          <w:rFonts w:ascii="Times New Roman" w:hAnsi="Times New Roman" w:cs="Times New Roman"/>
          <w:spacing w:val="-3"/>
          <w:sz w:val="22"/>
          <w:szCs w:val="22"/>
          <w:lang w:val="es-ES_tradnl" w:eastAsia="es-ES_tradnl"/>
        </w:rPr>
        <w:t xml:space="preserve"> a continuación:</w:t>
      </w:r>
    </w:p>
    <w:p w14:paraId="7D5EB306" w14:textId="3506E165" w:rsidR="00581ADA" w:rsidRPr="00C8275B" w:rsidRDefault="00581ADA"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0" w:type="auto"/>
        <w:tblInd w:w="1628" w:type="dxa"/>
        <w:tblCellMar>
          <w:left w:w="70" w:type="dxa"/>
          <w:right w:w="70" w:type="dxa"/>
        </w:tblCellMar>
        <w:tblLook w:val="04A0" w:firstRow="1" w:lastRow="0" w:firstColumn="1" w:lastColumn="0" w:noHBand="0" w:noVBand="1"/>
      </w:tblPr>
      <w:tblGrid>
        <w:gridCol w:w="3324"/>
        <w:gridCol w:w="1025"/>
        <w:gridCol w:w="1105"/>
        <w:gridCol w:w="1025"/>
        <w:gridCol w:w="1105"/>
      </w:tblGrid>
      <w:tr w:rsidR="00581ADA" w:rsidRPr="00581ADA" w14:paraId="34478F56" w14:textId="77777777" w:rsidTr="00581ADA">
        <w:trPr>
          <w:trHeight w:val="300"/>
        </w:trPr>
        <w:tc>
          <w:tcPr>
            <w:tcW w:w="0" w:type="auto"/>
            <w:vMerge w:val="restart"/>
            <w:tcBorders>
              <w:top w:val="single" w:sz="4" w:space="0" w:color="auto"/>
              <w:left w:val="nil"/>
              <w:bottom w:val="single" w:sz="4" w:space="0" w:color="auto"/>
              <w:right w:val="nil"/>
            </w:tcBorders>
            <w:shd w:val="clear" w:color="auto" w:fill="auto"/>
            <w:vAlign w:val="center"/>
            <w:hideMark/>
          </w:tcPr>
          <w:p w14:paraId="295FEC8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Tipo de producto/operación</w:t>
            </w:r>
          </w:p>
        </w:tc>
        <w:tc>
          <w:tcPr>
            <w:tcW w:w="0" w:type="auto"/>
            <w:gridSpan w:val="2"/>
            <w:tcBorders>
              <w:top w:val="single" w:sz="4" w:space="0" w:color="auto"/>
              <w:left w:val="nil"/>
              <w:bottom w:val="single" w:sz="4" w:space="0" w:color="auto"/>
              <w:right w:val="nil"/>
            </w:tcBorders>
            <w:shd w:val="clear" w:color="auto" w:fill="auto"/>
            <w:vAlign w:val="bottom"/>
            <w:hideMark/>
          </w:tcPr>
          <w:p w14:paraId="600115C9"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2022</w:t>
            </w:r>
          </w:p>
        </w:tc>
        <w:tc>
          <w:tcPr>
            <w:tcW w:w="0" w:type="auto"/>
            <w:gridSpan w:val="2"/>
            <w:tcBorders>
              <w:top w:val="single" w:sz="4" w:space="0" w:color="auto"/>
              <w:left w:val="nil"/>
              <w:bottom w:val="single" w:sz="4" w:space="0" w:color="auto"/>
              <w:right w:val="nil"/>
            </w:tcBorders>
            <w:shd w:val="clear" w:color="auto" w:fill="auto"/>
            <w:vAlign w:val="bottom"/>
            <w:hideMark/>
          </w:tcPr>
          <w:p w14:paraId="24ADA2B4"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2021</w:t>
            </w:r>
          </w:p>
        </w:tc>
      </w:tr>
      <w:tr w:rsidR="00581ADA" w:rsidRPr="00581ADA" w14:paraId="1DBBCCA4" w14:textId="77777777" w:rsidTr="00581ADA">
        <w:trPr>
          <w:trHeight w:val="330"/>
        </w:trPr>
        <w:tc>
          <w:tcPr>
            <w:tcW w:w="0" w:type="auto"/>
            <w:vMerge/>
            <w:tcBorders>
              <w:top w:val="single" w:sz="4" w:space="0" w:color="auto"/>
              <w:left w:val="nil"/>
              <w:bottom w:val="single" w:sz="4" w:space="0" w:color="auto"/>
              <w:right w:val="nil"/>
            </w:tcBorders>
            <w:vAlign w:val="center"/>
            <w:hideMark/>
          </w:tcPr>
          <w:p w14:paraId="385295B5" w14:textId="77777777" w:rsidR="00581ADA" w:rsidRPr="00581ADA" w:rsidRDefault="00581ADA" w:rsidP="00581ADA">
            <w:pPr>
              <w:widowControl/>
              <w:autoSpaceDE/>
              <w:autoSpaceDN/>
              <w:adjustRightInd/>
              <w:rPr>
                <w:rFonts w:ascii="Times New Roman" w:hAnsi="Times New Roman" w:cs="Times New Roman"/>
                <w:b/>
                <w:bCs/>
                <w:sz w:val="18"/>
                <w:szCs w:val="18"/>
              </w:rPr>
            </w:pPr>
          </w:p>
        </w:tc>
        <w:tc>
          <w:tcPr>
            <w:tcW w:w="0" w:type="auto"/>
            <w:gridSpan w:val="2"/>
            <w:tcBorders>
              <w:top w:val="single" w:sz="4" w:space="0" w:color="auto"/>
              <w:left w:val="nil"/>
              <w:bottom w:val="single" w:sz="4" w:space="0" w:color="auto"/>
              <w:right w:val="nil"/>
            </w:tcBorders>
            <w:shd w:val="clear" w:color="auto" w:fill="auto"/>
            <w:vAlign w:val="bottom"/>
            <w:hideMark/>
          </w:tcPr>
          <w:p w14:paraId="534614D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Riesgo (en miles de euros)</w:t>
            </w:r>
          </w:p>
        </w:tc>
        <w:tc>
          <w:tcPr>
            <w:tcW w:w="0" w:type="auto"/>
            <w:gridSpan w:val="2"/>
            <w:tcBorders>
              <w:top w:val="single" w:sz="4" w:space="0" w:color="auto"/>
              <w:left w:val="nil"/>
              <w:bottom w:val="single" w:sz="4" w:space="0" w:color="auto"/>
              <w:right w:val="nil"/>
            </w:tcBorders>
            <w:shd w:val="clear" w:color="auto" w:fill="auto"/>
            <w:vAlign w:val="bottom"/>
            <w:hideMark/>
          </w:tcPr>
          <w:p w14:paraId="4299B4D9"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Riesgo (en miles de euros)</w:t>
            </w:r>
          </w:p>
        </w:tc>
      </w:tr>
      <w:tr w:rsidR="00581ADA" w:rsidRPr="00581ADA" w14:paraId="46789F96" w14:textId="77777777" w:rsidTr="00581ADA">
        <w:trPr>
          <w:trHeight w:val="300"/>
        </w:trPr>
        <w:tc>
          <w:tcPr>
            <w:tcW w:w="0" w:type="auto"/>
            <w:vMerge/>
            <w:tcBorders>
              <w:top w:val="single" w:sz="4" w:space="0" w:color="auto"/>
              <w:left w:val="nil"/>
              <w:bottom w:val="single" w:sz="4" w:space="0" w:color="auto"/>
              <w:right w:val="nil"/>
            </w:tcBorders>
            <w:vAlign w:val="center"/>
            <w:hideMark/>
          </w:tcPr>
          <w:p w14:paraId="48A660F5" w14:textId="77777777" w:rsidR="00581ADA" w:rsidRPr="00581ADA" w:rsidRDefault="00581ADA" w:rsidP="00581ADA">
            <w:pPr>
              <w:widowControl/>
              <w:autoSpaceDE/>
              <w:autoSpaceDN/>
              <w:adjustRightInd/>
              <w:rPr>
                <w:rFonts w:ascii="Times New Roman" w:hAnsi="Times New Roman" w:cs="Times New Roman"/>
                <w:b/>
                <w:bCs/>
                <w:sz w:val="18"/>
                <w:szCs w:val="18"/>
              </w:rPr>
            </w:pPr>
          </w:p>
        </w:tc>
        <w:tc>
          <w:tcPr>
            <w:tcW w:w="0" w:type="auto"/>
            <w:tcBorders>
              <w:top w:val="nil"/>
              <w:left w:val="nil"/>
              <w:bottom w:val="single" w:sz="4" w:space="0" w:color="auto"/>
              <w:right w:val="nil"/>
            </w:tcBorders>
            <w:shd w:val="clear" w:color="auto" w:fill="auto"/>
            <w:vAlign w:val="bottom"/>
            <w:hideMark/>
          </w:tcPr>
          <w:p w14:paraId="31E26561"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Dispuesto</w:t>
            </w:r>
          </w:p>
        </w:tc>
        <w:tc>
          <w:tcPr>
            <w:tcW w:w="0" w:type="auto"/>
            <w:tcBorders>
              <w:top w:val="nil"/>
              <w:left w:val="nil"/>
              <w:bottom w:val="single" w:sz="4" w:space="0" w:color="auto"/>
              <w:right w:val="nil"/>
            </w:tcBorders>
            <w:shd w:val="clear" w:color="auto" w:fill="auto"/>
            <w:vAlign w:val="bottom"/>
            <w:hideMark/>
          </w:tcPr>
          <w:p w14:paraId="555813ED"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Disponible</w:t>
            </w:r>
          </w:p>
        </w:tc>
        <w:tc>
          <w:tcPr>
            <w:tcW w:w="0" w:type="auto"/>
            <w:tcBorders>
              <w:top w:val="nil"/>
              <w:left w:val="nil"/>
              <w:bottom w:val="single" w:sz="4" w:space="0" w:color="auto"/>
              <w:right w:val="nil"/>
            </w:tcBorders>
            <w:shd w:val="clear" w:color="auto" w:fill="auto"/>
            <w:vAlign w:val="bottom"/>
            <w:hideMark/>
          </w:tcPr>
          <w:p w14:paraId="2F015533"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Dispuesto</w:t>
            </w:r>
          </w:p>
        </w:tc>
        <w:tc>
          <w:tcPr>
            <w:tcW w:w="0" w:type="auto"/>
            <w:tcBorders>
              <w:top w:val="nil"/>
              <w:left w:val="nil"/>
              <w:bottom w:val="single" w:sz="4" w:space="0" w:color="auto"/>
              <w:right w:val="nil"/>
            </w:tcBorders>
            <w:shd w:val="clear" w:color="auto" w:fill="auto"/>
            <w:vAlign w:val="bottom"/>
            <w:hideMark/>
          </w:tcPr>
          <w:p w14:paraId="612E40CB"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Disponible</w:t>
            </w:r>
          </w:p>
        </w:tc>
      </w:tr>
      <w:tr w:rsidR="00B3369E" w:rsidRPr="00581ADA" w14:paraId="166F4456" w14:textId="77777777" w:rsidTr="00581ADA">
        <w:trPr>
          <w:trHeight w:val="300"/>
        </w:trPr>
        <w:tc>
          <w:tcPr>
            <w:tcW w:w="0" w:type="auto"/>
            <w:tcBorders>
              <w:top w:val="nil"/>
              <w:left w:val="nil"/>
              <w:bottom w:val="single" w:sz="4" w:space="0" w:color="auto"/>
              <w:right w:val="nil"/>
            </w:tcBorders>
            <w:shd w:val="clear" w:color="auto" w:fill="auto"/>
            <w:vAlign w:val="center"/>
          </w:tcPr>
          <w:p w14:paraId="19C4B9B4" w14:textId="13889677" w:rsidR="00B3369E" w:rsidRPr="00581ADA" w:rsidRDefault="00B3369E" w:rsidP="00581ADA">
            <w:pPr>
              <w:widowControl/>
              <w:autoSpaceDE/>
              <w:autoSpaceDN/>
              <w:adjustRightInd/>
              <w:rPr>
                <w:rFonts w:ascii="Times New Roman" w:hAnsi="Times New Roman" w:cs="Times New Roman"/>
                <w:sz w:val="18"/>
                <w:szCs w:val="18"/>
              </w:rPr>
            </w:pPr>
            <w:r>
              <w:rPr>
                <w:rFonts w:ascii="Times New Roman" w:hAnsi="Times New Roman" w:cs="Times New Roman"/>
                <w:sz w:val="18"/>
                <w:szCs w:val="18"/>
              </w:rPr>
              <w:t>Avales y cauciones no financieros prestados</w:t>
            </w:r>
          </w:p>
        </w:tc>
        <w:tc>
          <w:tcPr>
            <w:tcW w:w="0" w:type="auto"/>
            <w:tcBorders>
              <w:top w:val="nil"/>
              <w:left w:val="nil"/>
              <w:bottom w:val="single" w:sz="4" w:space="0" w:color="auto"/>
              <w:right w:val="nil"/>
            </w:tcBorders>
            <w:shd w:val="clear" w:color="auto" w:fill="auto"/>
            <w:vAlign w:val="center"/>
          </w:tcPr>
          <w:p w14:paraId="2B14E8D6" w14:textId="1667E88A"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tcPr>
          <w:p w14:paraId="5C35274B" w14:textId="2B50A8B6"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center"/>
          </w:tcPr>
          <w:p w14:paraId="7E314202" w14:textId="5178EDAB"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tcPr>
          <w:p w14:paraId="42BE37CB" w14:textId="2742A937" w:rsidR="00B3369E" w:rsidRPr="00581ADA" w:rsidRDefault="00B3369E" w:rsidP="00581ADA">
            <w:pPr>
              <w:widowControl/>
              <w:autoSpaceDE/>
              <w:autoSpaceDN/>
              <w:adjustRightInd/>
              <w:jc w:val="center"/>
              <w:rPr>
                <w:rFonts w:ascii="Times New Roman" w:hAnsi="Times New Roman" w:cs="Times New Roman"/>
                <w:sz w:val="18"/>
                <w:szCs w:val="18"/>
              </w:rPr>
            </w:pPr>
            <w:r>
              <w:rPr>
                <w:rFonts w:ascii="Times New Roman" w:hAnsi="Times New Roman" w:cs="Times New Roman"/>
                <w:sz w:val="18"/>
                <w:szCs w:val="18"/>
              </w:rPr>
              <w:t>0</w:t>
            </w:r>
          </w:p>
        </w:tc>
      </w:tr>
      <w:tr w:rsidR="00581ADA" w:rsidRPr="00581ADA" w14:paraId="614D2FA8" w14:textId="77777777" w:rsidTr="00581ADA">
        <w:trPr>
          <w:trHeight w:val="300"/>
        </w:trPr>
        <w:tc>
          <w:tcPr>
            <w:tcW w:w="0" w:type="auto"/>
            <w:tcBorders>
              <w:top w:val="nil"/>
              <w:left w:val="nil"/>
              <w:bottom w:val="single" w:sz="4" w:space="0" w:color="auto"/>
              <w:right w:val="nil"/>
            </w:tcBorders>
            <w:shd w:val="clear" w:color="auto" w:fill="auto"/>
            <w:vAlign w:val="center"/>
            <w:hideMark/>
          </w:tcPr>
          <w:p w14:paraId="3ED8A4CF" w14:textId="77777777" w:rsidR="00581ADA" w:rsidRPr="00581ADA" w:rsidRDefault="00581ADA" w:rsidP="00581ADA">
            <w:pPr>
              <w:widowControl/>
              <w:autoSpaceDE/>
              <w:autoSpaceDN/>
              <w:adjustRightInd/>
              <w:rPr>
                <w:rFonts w:ascii="Times New Roman" w:hAnsi="Times New Roman" w:cs="Times New Roman"/>
                <w:sz w:val="18"/>
                <w:szCs w:val="18"/>
              </w:rPr>
            </w:pPr>
            <w:r w:rsidRPr="00581ADA">
              <w:rPr>
                <w:rFonts w:ascii="Times New Roman" w:hAnsi="Times New Roman" w:cs="Times New Roman"/>
                <w:sz w:val="18"/>
                <w:szCs w:val="18"/>
              </w:rPr>
              <w:t>Crédito financiero</w:t>
            </w:r>
          </w:p>
        </w:tc>
        <w:tc>
          <w:tcPr>
            <w:tcW w:w="0" w:type="auto"/>
            <w:tcBorders>
              <w:top w:val="nil"/>
              <w:left w:val="nil"/>
              <w:bottom w:val="single" w:sz="4" w:space="0" w:color="auto"/>
              <w:right w:val="nil"/>
            </w:tcBorders>
            <w:shd w:val="clear" w:color="auto" w:fill="auto"/>
            <w:vAlign w:val="center"/>
            <w:hideMark/>
          </w:tcPr>
          <w:p w14:paraId="18377404"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30</w:t>
            </w:r>
          </w:p>
        </w:tc>
        <w:tc>
          <w:tcPr>
            <w:tcW w:w="0" w:type="auto"/>
            <w:tcBorders>
              <w:top w:val="nil"/>
              <w:left w:val="nil"/>
              <w:bottom w:val="single" w:sz="4" w:space="0" w:color="auto"/>
              <w:right w:val="nil"/>
            </w:tcBorders>
            <w:shd w:val="clear" w:color="auto" w:fill="auto"/>
            <w:vAlign w:val="center"/>
            <w:hideMark/>
          </w:tcPr>
          <w:p w14:paraId="226A76A0"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center"/>
            <w:hideMark/>
          </w:tcPr>
          <w:p w14:paraId="6955A24D"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36</w:t>
            </w:r>
          </w:p>
        </w:tc>
        <w:tc>
          <w:tcPr>
            <w:tcW w:w="0" w:type="auto"/>
            <w:tcBorders>
              <w:top w:val="nil"/>
              <w:left w:val="nil"/>
              <w:bottom w:val="single" w:sz="4" w:space="0" w:color="auto"/>
              <w:right w:val="nil"/>
            </w:tcBorders>
            <w:shd w:val="clear" w:color="auto" w:fill="auto"/>
            <w:vAlign w:val="center"/>
            <w:hideMark/>
          </w:tcPr>
          <w:p w14:paraId="15405D6F" w14:textId="77777777" w:rsidR="00581ADA" w:rsidRPr="00581ADA" w:rsidRDefault="00581ADA" w:rsidP="00581ADA">
            <w:pPr>
              <w:widowControl/>
              <w:autoSpaceDE/>
              <w:autoSpaceDN/>
              <w:adjustRightInd/>
              <w:jc w:val="center"/>
              <w:rPr>
                <w:rFonts w:ascii="Times New Roman" w:hAnsi="Times New Roman" w:cs="Times New Roman"/>
                <w:sz w:val="18"/>
                <w:szCs w:val="18"/>
              </w:rPr>
            </w:pPr>
            <w:r w:rsidRPr="00581ADA">
              <w:rPr>
                <w:rFonts w:ascii="Times New Roman" w:hAnsi="Times New Roman" w:cs="Times New Roman"/>
                <w:sz w:val="18"/>
                <w:szCs w:val="18"/>
              </w:rPr>
              <w:t>0</w:t>
            </w:r>
          </w:p>
        </w:tc>
      </w:tr>
      <w:tr w:rsidR="00581ADA" w:rsidRPr="00581ADA" w14:paraId="5F1F7D04" w14:textId="77777777" w:rsidTr="00581ADA">
        <w:trPr>
          <w:trHeight w:val="300"/>
        </w:trPr>
        <w:tc>
          <w:tcPr>
            <w:tcW w:w="0" w:type="auto"/>
            <w:tcBorders>
              <w:top w:val="nil"/>
              <w:left w:val="nil"/>
              <w:bottom w:val="single" w:sz="4" w:space="0" w:color="auto"/>
              <w:right w:val="nil"/>
            </w:tcBorders>
            <w:shd w:val="clear" w:color="auto" w:fill="auto"/>
            <w:vAlign w:val="center"/>
            <w:hideMark/>
          </w:tcPr>
          <w:p w14:paraId="692A330B"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T O T AL</w:t>
            </w:r>
          </w:p>
        </w:tc>
        <w:tc>
          <w:tcPr>
            <w:tcW w:w="0" w:type="auto"/>
            <w:tcBorders>
              <w:top w:val="nil"/>
              <w:left w:val="nil"/>
              <w:bottom w:val="single" w:sz="4" w:space="0" w:color="auto"/>
              <w:right w:val="nil"/>
            </w:tcBorders>
            <w:shd w:val="clear" w:color="auto" w:fill="auto"/>
            <w:vAlign w:val="center"/>
            <w:hideMark/>
          </w:tcPr>
          <w:p w14:paraId="12F5263C"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66</w:t>
            </w:r>
          </w:p>
        </w:tc>
        <w:tc>
          <w:tcPr>
            <w:tcW w:w="0" w:type="auto"/>
            <w:tcBorders>
              <w:top w:val="nil"/>
              <w:left w:val="nil"/>
              <w:bottom w:val="single" w:sz="4" w:space="0" w:color="auto"/>
              <w:right w:val="nil"/>
            </w:tcBorders>
            <w:shd w:val="clear" w:color="auto" w:fill="auto"/>
            <w:vAlign w:val="center"/>
            <w:hideMark/>
          </w:tcPr>
          <w:p w14:paraId="61C87B3A"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0</w:t>
            </w:r>
          </w:p>
        </w:tc>
        <w:tc>
          <w:tcPr>
            <w:tcW w:w="0" w:type="auto"/>
            <w:tcBorders>
              <w:top w:val="nil"/>
              <w:left w:val="nil"/>
              <w:bottom w:val="single" w:sz="4" w:space="0" w:color="auto"/>
              <w:right w:val="nil"/>
            </w:tcBorders>
            <w:shd w:val="clear" w:color="auto" w:fill="auto"/>
            <w:vAlign w:val="center"/>
            <w:hideMark/>
          </w:tcPr>
          <w:p w14:paraId="632C3915"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36</w:t>
            </w:r>
          </w:p>
        </w:tc>
        <w:tc>
          <w:tcPr>
            <w:tcW w:w="0" w:type="auto"/>
            <w:tcBorders>
              <w:top w:val="nil"/>
              <w:left w:val="nil"/>
              <w:bottom w:val="single" w:sz="4" w:space="0" w:color="auto"/>
              <w:right w:val="nil"/>
            </w:tcBorders>
            <w:shd w:val="clear" w:color="auto" w:fill="auto"/>
            <w:vAlign w:val="center"/>
            <w:hideMark/>
          </w:tcPr>
          <w:p w14:paraId="3296D2BD" w14:textId="77777777" w:rsidR="00581ADA" w:rsidRPr="00581ADA" w:rsidRDefault="00581ADA" w:rsidP="00581ADA">
            <w:pPr>
              <w:widowControl/>
              <w:autoSpaceDE/>
              <w:autoSpaceDN/>
              <w:adjustRightInd/>
              <w:jc w:val="center"/>
              <w:rPr>
                <w:rFonts w:ascii="Times New Roman" w:hAnsi="Times New Roman" w:cs="Times New Roman"/>
                <w:b/>
                <w:bCs/>
                <w:sz w:val="18"/>
                <w:szCs w:val="18"/>
              </w:rPr>
            </w:pPr>
            <w:r w:rsidRPr="00581ADA">
              <w:rPr>
                <w:rFonts w:ascii="Times New Roman" w:hAnsi="Times New Roman" w:cs="Times New Roman"/>
                <w:b/>
                <w:bCs/>
                <w:sz w:val="18"/>
                <w:szCs w:val="18"/>
              </w:rPr>
              <w:t>0</w:t>
            </w:r>
          </w:p>
        </w:tc>
      </w:tr>
    </w:tbl>
    <w:p w14:paraId="6401AF0A" w14:textId="77777777" w:rsidR="00581ADA" w:rsidRDefault="00581ADA"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E752F2E" w14:textId="77777777" w:rsidR="009A6F4A" w:rsidRPr="00C8275B" w:rsidRDefault="009A6F4A" w:rsidP="001D667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62F7BB6" w14:textId="50CFB04C" w:rsidR="00F07068" w:rsidRPr="00C8275B" w:rsidRDefault="00714748" w:rsidP="00F07068">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5</w:t>
      </w:r>
      <w:r w:rsidR="000576A2" w:rsidRPr="00C8275B">
        <w:rPr>
          <w:rFonts w:ascii="Times New Roman" w:hAnsi="Times New Roman" w:cs="Times New Roman"/>
          <w:b/>
          <w:spacing w:val="-3"/>
          <w:sz w:val="22"/>
          <w:szCs w:val="22"/>
          <w:lang w:val="es-ES_tradnl" w:eastAsia="es-ES_tradnl"/>
        </w:rPr>
        <w:t>.</w:t>
      </w:r>
      <w:r w:rsidR="00F07068" w:rsidRPr="00C8275B">
        <w:rPr>
          <w:rFonts w:ascii="Times New Roman" w:hAnsi="Times New Roman" w:cs="Times New Roman"/>
          <w:b/>
          <w:spacing w:val="-3"/>
          <w:sz w:val="22"/>
          <w:szCs w:val="22"/>
          <w:lang w:val="es-ES_tradnl" w:eastAsia="es-ES_tradnl"/>
        </w:rPr>
        <w:t xml:space="preserve"> Información sobre la naturaleza y el nivel de riesgo procedente de instrumentos financieros</w:t>
      </w:r>
    </w:p>
    <w:p w14:paraId="26A9C897" w14:textId="77777777" w:rsidR="00F07068" w:rsidRPr="00C8275B" w:rsidRDefault="00F07068" w:rsidP="00F07068">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sociedad dada su tipología y actividad que desarrolla</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no posee riesgos de crédito</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ni riesgos de mercado, incluyendo dentro de éstos últimos los riesgos de tipo de cambio, de tipo de interés y de tipo de precio.</w:t>
      </w:r>
    </w:p>
    <w:p w14:paraId="5A8109AB" w14:textId="70D90DC8" w:rsidR="00ED3C8D" w:rsidRPr="00C8275B" w:rsidRDefault="00F07068" w:rsidP="00ED3C8D">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En cuanto al riesgo de liquidez, a raíz de la ampliación de capital producida en el presente ejercicio </w:t>
      </w:r>
      <w:r w:rsidR="00144341" w:rsidRPr="00C8275B">
        <w:rPr>
          <w:rFonts w:ascii="Times New Roman" w:hAnsi="Times New Roman" w:cs="Times New Roman"/>
          <w:spacing w:val="-3"/>
          <w:sz w:val="22"/>
          <w:szCs w:val="22"/>
          <w:lang w:val="es-ES_tradnl" w:eastAsia="es-ES_tradnl"/>
        </w:rPr>
        <w:t>202</w:t>
      </w:r>
      <w:r w:rsidR="008E1AA0">
        <w:rPr>
          <w:rFonts w:ascii="Times New Roman" w:hAnsi="Times New Roman" w:cs="Times New Roman"/>
          <w:spacing w:val="-3"/>
          <w:sz w:val="22"/>
          <w:szCs w:val="22"/>
          <w:lang w:val="es-ES_tradnl" w:eastAsia="es-ES_tradnl"/>
        </w:rPr>
        <w:t>0</w:t>
      </w:r>
      <w:r w:rsidRPr="00C8275B">
        <w:rPr>
          <w:rFonts w:ascii="Times New Roman" w:hAnsi="Times New Roman" w:cs="Times New Roman"/>
          <w:spacing w:val="-3"/>
          <w:sz w:val="22"/>
          <w:szCs w:val="22"/>
          <w:lang w:val="es-ES_tradnl" w:eastAsia="es-ES_tradnl"/>
        </w:rPr>
        <w:t xml:space="preserve">, la sociedad está efectuando </w:t>
      </w:r>
      <w:r w:rsidR="00ED3C8D" w:rsidRPr="00C8275B">
        <w:rPr>
          <w:rFonts w:ascii="Times New Roman" w:hAnsi="Times New Roman" w:cs="Times New Roman"/>
          <w:spacing w:val="-3"/>
          <w:sz w:val="22"/>
          <w:szCs w:val="22"/>
          <w:lang w:val="es-ES_tradnl" w:eastAsia="es-ES_tradnl"/>
        </w:rPr>
        <w:t>una gestión adecuada del riesgo de liquidez a través de la disposición de efectivo y otros activos líquidos equivalentes, la cual se considera suficiente para afrontar las necesidades previstas.</w:t>
      </w:r>
    </w:p>
    <w:p w14:paraId="056A0F0A" w14:textId="77777777" w:rsidR="00486703" w:rsidRDefault="00486703"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p>
    <w:p w14:paraId="235CC388" w14:textId="6035A78F" w:rsidR="006C0067" w:rsidRPr="00C8275B" w:rsidRDefault="00714748" w:rsidP="00934221">
      <w:pPr>
        <w:shd w:val="clear" w:color="auto" w:fill="FFFFFF"/>
        <w:spacing w:before="240"/>
        <w:ind w:firstLine="705"/>
        <w:jc w:val="both"/>
        <w:rPr>
          <w:rFonts w:ascii="Times New Roman" w:hAnsi="Times New Roman" w:cs="Times New Roman"/>
          <w:b/>
          <w:spacing w:val="-3"/>
          <w:sz w:val="22"/>
          <w:szCs w:val="22"/>
          <w:lang w:val="es-ES_tradnl" w:eastAsia="es-ES_tradnl"/>
        </w:rPr>
      </w:pPr>
      <w:r w:rsidRPr="00C8275B">
        <w:rPr>
          <w:rFonts w:ascii="Times New Roman" w:hAnsi="Times New Roman" w:cs="Times New Roman"/>
          <w:b/>
          <w:spacing w:val="-3"/>
          <w:sz w:val="22"/>
          <w:szCs w:val="22"/>
          <w:lang w:val="es-ES_tradnl" w:eastAsia="es-ES_tradnl"/>
        </w:rPr>
        <w:t>B.</w:t>
      </w:r>
      <w:r w:rsidR="000B2B72" w:rsidRPr="00C8275B">
        <w:rPr>
          <w:rFonts w:ascii="Times New Roman" w:hAnsi="Times New Roman" w:cs="Times New Roman"/>
          <w:b/>
          <w:spacing w:val="-3"/>
          <w:sz w:val="22"/>
          <w:szCs w:val="22"/>
          <w:lang w:val="es-ES_tradnl" w:eastAsia="es-ES_tradnl"/>
        </w:rPr>
        <w:t>6</w:t>
      </w:r>
      <w:r w:rsidR="006C0067" w:rsidRPr="00C8275B">
        <w:rPr>
          <w:rFonts w:ascii="Times New Roman" w:hAnsi="Times New Roman" w:cs="Times New Roman"/>
          <w:b/>
          <w:spacing w:val="-3"/>
          <w:sz w:val="22"/>
          <w:szCs w:val="22"/>
          <w:lang w:val="es-ES_tradnl" w:eastAsia="es-ES_tradnl"/>
        </w:rPr>
        <w:t>. Deudas empresas del grupo:</w:t>
      </w:r>
    </w:p>
    <w:p w14:paraId="38C60D27" w14:textId="3E01B73B" w:rsidR="00CD0825" w:rsidRPr="00C8275B" w:rsidRDefault="006C0067" w:rsidP="00137FCE">
      <w:pPr>
        <w:shd w:val="clear" w:color="auto" w:fill="FFFFFF"/>
        <w:spacing w:before="216"/>
        <w:ind w:left="705" w:right="3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Los pasivos financieros con empresas del grupo se ajustan a lo establecido por la Resolución de concesión de operación de crédito a largo plazo</w:t>
      </w:r>
      <w:r w:rsidR="00287B8E"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por importe </w:t>
      </w:r>
      <w:r w:rsidR="00236CFC" w:rsidRPr="00C8275B">
        <w:rPr>
          <w:rFonts w:ascii="Times New Roman" w:hAnsi="Times New Roman" w:cs="Times New Roman"/>
          <w:spacing w:val="-3"/>
          <w:sz w:val="22"/>
          <w:szCs w:val="22"/>
          <w:lang w:val="es-ES_tradnl" w:eastAsia="es-ES_tradnl"/>
        </w:rPr>
        <w:t>de capital pendiente</w:t>
      </w:r>
      <w:r w:rsidR="00287B8E"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de </w:t>
      </w:r>
      <w:r w:rsidR="00D02CFD" w:rsidRPr="00C8275B">
        <w:rPr>
          <w:rFonts w:ascii="Times New Roman" w:hAnsi="Times New Roman" w:cs="Times New Roman"/>
          <w:spacing w:val="-3"/>
          <w:sz w:val="22"/>
          <w:szCs w:val="22"/>
          <w:lang w:val="es-ES_tradnl" w:eastAsia="es-ES_tradnl"/>
        </w:rPr>
        <w:t>0,00</w:t>
      </w:r>
      <w:r w:rsidR="0014391A" w:rsidRPr="00C8275B">
        <w:rPr>
          <w:rFonts w:ascii="Times New Roman" w:hAnsi="Times New Roman" w:cs="Times New Roman"/>
          <w:spacing w:val="-3"/>
          <w:sz w:val="22"/>
          <w:szCs w:val="22"/>
          <w:lang w:val="es-ES_tradnl" w:eastAsia="es-ES_tradnl"/>
        </w:rPr>
        <w:t xml:space="preserve"> e</w:t>
      </w:r>
      <w:r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en el presente ejercicio y de </w:t>
      </w:r>
      <w:r w:rsidR="00D02CFD" w:rsidRPr="00C8275B">
        <w:rPr>
          <w:rFonts w:ascii="Times New Roman" w:hAnsi="Times New Roman" w:cs="Times New Roman"/>
          <w:spacing w:val="-3"/>
          <w:sz w:val="22"/>
          <w:szCs w:val="22"/>
          <w:lang w:val="es-ES_tradnl" w:eastAsia="es-ES_tradnl"/>
        </w:rPr>
        <w:t>17.374,40</w:t>
      </w:r>
      <w:r w:rsidR="00B7074E" w:rsidRPr="00C8275B">
        <w:rPr>
          <w:rFonts w:ascii="Times New Roman" w:hAnsi="Times New Roman" w:cs="Times New Roman"/>
          <w:spacing w:val="-3"/>
          <w:sz w:val="22"/>
          <w:szCs w:val="22"/>
          <w:lang w:val="es-ES_tradnl" w:eastAsia="es-ES_tradnl"/>
        </w:rPr>
        <w:t xml:space="preserve"> </w:t>
      </w:r>
      <w:r w:rsidR="0014391A" w:rsidRPr="00C8275B">
        <w:rPr>
          <w:rFonts w:ascii="Times New Roman" w:hAnsi="Times New Roman" w:cs="Times New Roman"/>
          <w:spacing w:val="-3"/>
          <w:sz w:val="22"/>
          <w:szCs w:val="22"/>
          <w:lang w:val="es-ES_tradnl" w:eastAsia="es-ES_tradnl"/>
        </w:rPr>
        <w:t>e</w:t>
      </w:r>
      <w:r w:rsidR="00111B3F" w:rsidRPr="00C8275B">
        <w:rPr>
          <w:rFonts w:ascii="Times New Roman" w:hAnsi="Times New Roman" w:cs="Times New Roman"/>
          <w:spacing w:val="-3"/>
          <w:sz w:val="22"/>
          <w:szCs w:val="22"/>
          <w:lang w:val="es-ES_tradnl" w:eastAsia="es-ES_tradnl"/>
        </w:rPr>
        <w:t>uros</w:t>
      </w:r>
      <w:r w:rsidR="00287B8E" w:rsidRPr="00C8275B">
        <w:rPr>
          <w:rFonts w:ascii="Times New Roman" w:hAnsi="Times New Roman" w:cs="Times New Roman"/>
          <w:spacing w:val="-3"/>
          <w:sz w:val="22"/>
          <w:szCs w:val="22"/>
          <w:lang w:val="es-ES_tradnl" w:eastAsia="es-ES_tradnl"/>
        </w:rPr>
        <w:t xml:space="preserve"> en e</w:t>
      </w:r>
      <w:r w:rsidR="00855A34" w:rsidRPr="00C8275B">
        <w:rPr>
          <w:rFonts w:ascii="Times New Roman" w:hAnsi="Times New Roman" w:cs="Times New Roman"/>
          <w:spacing w:val="-3"/>
          <w:sz w:val="22"/>
          <w:szCs w:val="22"/>
          <w:lang w:val="es-ES_tradnl" w:eastAsia="es-ES_tradnl"/>
        </w:rPr>
        <w:t>l ejercicio anterior,</w:t>
      </w:r>
      <w:r w:rsidR="00F7134A" w:rsidRPr="00C8275B">
        <w:rPr>
          <w:rFonts w:ascii="Times New Roman" w:hAnsi="Times New Roman" w:cs="Times New Roman"/>
          <w:spacing w:val="-3"/>
          <w:sz w:val="22"/>
          <w:szCs w:val="22"/>
          <w:lang w:val="es-ES_tradnl" w:eastAsia="es-ES_tradnl"/>
        </w:rPr>
        <w:t xml:space="preserve"> y a corto plazo por importe de </w:t>
      </w:r>
      <w:r w:rsidR="00884FA1" w:rsidRPr="00C8275B">
        <w:rPr>
          <w:rFonts w:ascii="Times New Roman" w:hAnsi="Times New Roman" w:cs="Times New Roman"/>
          <w:spacing w:val="-3"/>
          <w:sz w:val="22"/>
          <w:szCs w:val="22"/>
          <w:lang w:val="es-ES_tradnl" w:eastAsia="es-ES_tradnl"/>
        </w:rPr>
        <w:t>1</w:t>
      </w:r>
      <w:r w:rsidR="00D02CFD" w:rsidRPr="00C8275B">
        <w:rPr>
          <w:rFonts w:ascii="Times New Roman" w:hAnsi="Times New Roman" w:cs="Times New Roman"/>
          <w:spacing w:val="-3"/>
          <w:sz w:val="22"/>
          <w:szCs w:val="22"/>
          <w:lang w:val="es-ES_tradnl" w:eastAsia="es-ES_tradnl"/>
        </w:rPr>
        <w:t>07</w:t>
      </w:r>
      <w:r w:rsidR="00884FA1" w:rsidRPr="00C8275B">
        <w:rPr>
          <w:rFonts w:ascii="Times New Roman" w:hAnsi="Times New Roman" w:cs="Times New Roman"/>
          <w:spacing w:val="-3"/>
          <w:sz w:val="22"/>
          <w:szCs w:val="22"/>
          <w:lang w:val="es-ES_tradnl" w:eastAsia="es-ES_tradnl"/>
        </w:rPr>
        <w:t>.</w:t>
      </w:r>
      <w:r w:rsidR="00D02CFD" w:rsidRPr="00C8275B">
        <w:rPr>
          <w:rFonts w:ascii="Times New Roman" w:hAnsi="Times New Roman" w:cs="Times New Roman"/>
          <w:spacing w:val="-3"/>
          <w:sz w:val="22"/>
          <w:szCs w:val="22"/>
          <w:lang w:val="es-ES_tradnl" w:eastAsia="es-ES_tradnl"/>
        </w:rPr>
        <w:t>721</w:t>
      </w:r>
      <w:r w:rsidR="00884FA1" w:rsidRPr="00C8275B">
        <w:rPr>
          <w:rFonts w:ascii="Times New Roman" w:hAnsi="Times New Roman" w:cs="Times New Roman"/>
          <w:spacing w:val="-3"/>
          <w:sz w:val="22"/>
          <w:szCs w:val="22"/>
          <w:lang w:val="es-ES_tradnl" w:eastAsia="es-ES_tradnl"/>
        </w:rPr>
        <w:t>,</w:t>
      </w:r>
      <w:r w:rsidR="00D02CFD" w:rsidRPr="00C8275B">
        <w:rPr>
          <w:rFonts w:ascii="Times New Roman" w:hAnsi="Times New Roman" w:cs="Times New Roman"/>
          <w:spacing w:val="-3"/>
          <w:sz w:val="22"/>
          <w:szCs w:val="22"/>
          <w:lang w:val="es-ES_tradnl" w:eastAsia="es-ES_tradnl"/>
        </w:rPr>
        <w:t>35</w:t>
      </w:r>
      <w:r w:rsidR="00855A34" w:rsidRPr="00C8275B">
        <w:rPr>
          <w:rFonts w:ascii="Times New Roman" w:hAnsi="Times New Roman" w:cs="Times New Roman"/>
          <w:spacing w:val="-3"/>
          <w:sz w:val="22"/>
          <w:szCs w:val="22"/>
          <w:lang w:val="es-ES_tradnl" w:eastAsia="es-ES_tradnl"/>
        </w:rPr>
        <w:t xml:space="preserve"> </w:t>
      </w:r>
      <w:r w:rsidR="0014391A" w:rsidRPr="00C8275B">
        <w:rPr>
          <w:rFonts w:ascii="Times New Roman" w:hAnsi="Times New Roman" w:cs="Times New Roman"/>
          <w:spacing w:val="-3"/>
          <w:sz w:val="22"/>
          <w:szCs w:val="22"/>
          <w:lang w:val="es-ES_tradnl" w:eastAsia="es-ES_tradnl"/>
        </w:rPr>
        <w:t>e</w:t>
      </w:r>
      <w:r w:rsidR="00F7134A"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para el presente ejercicio y de </w:t>
      </w:r>
      <w:r w:rsidR="00B7074E" w:rsidRPr="00C8275B">
        <w:rPr>
          <w:rFonts w:ascii="Times New Roman" w:hAnsi="Times New Roman" w:cs="Times New Roman"/>
          <w:spacing w:val="-3"/>
          <w:sz w:val="22"/>
          <w:szCs w:val="22"/>
          <w:lang w:val="es-ES_tradnl" w:eastAsia="es-ES_tradnl"/>
        </w:rPr>
        <w:t xml:space="preserve">176.524,15 </w:t>
      </w:r>
      <w:r w:rsidR="0014391A" w:rsidRPr="00C8275B">
        <w:rPr>
          <w:rFonts w:ascii="Times New Roman" w:hAnsi="Times New Roman" w:cs="Times New Roman"/>
          <w:spacing w:val="-3"/>
          <w:sz w:val="22"/>
          <w:szCs w:val="22"/>
          <w:lang w:val="es-ES_tradnl" w:eastAsia="es-ES_tradnl"/>
        </w:rPr>
        <w:t>e</w:t>
      </w:r>
      <w:r w:rsidR="00111B3F" w:rsidRPr="00C8275B">
        <w:rPr>
          <w:rFonts w:ascii="Times New Roman" w:hAnsi="Times New Roman" w:cs="Times New Roman"/>
          <w:spacing w:val="-3"/>
          <w:sz w:val="22"/>
          <w:szCs w:val="22"/>
          <w:lang w:val="es-ES_tradnl" w:eastAsia="es-ES_tradnl"/>
        </w:rPr>
        <w:t>uros</w:t>
      </w:r>
      <w:r w:rsidR="00855A34" w:rsidRPr="00C8275B">
        <w:rPr>
          <w:rFonts w:ascii="Times New Roman" w:hAnsi="Times New Roman" w:cs="Times New Roman"/>
          <w:spacing w:val="-3"/>
          <w:sz w:val="22"/>
          <w:szCs w:val="22"/>
          <w:lang w:val="es-ES_tradnl" w:eastAsia="es-ES_tradnl"/>
        </w:rPr>
        <w:t xml:space="preserve"> para el ejercicio anterior</w:t>
      </w:r>
      <w:r w:rsidRPr="00C8275B">
        <w:rPr>
          <w:rFonts w:ascii="Times New Roman" w:hAnsi="Times New Roman" w:cs="Times New Roman"/>
          <w:spacing w:val="-3"/>
          <w:sz w:val="22"/>
          <w:szCs w:val="22"/>
          <w:lang w:val="es-ES_tradnl" w:eastAsia="es-ES_tradnl"/>
        </w:rPr>
        <w:t xml:space="preserve">, por parte del </w:t>
      </w:r>
      <w:r w:rsidR="00A91F42" w:rsidRPr="00C8275B">
        <w:rPr>
          <w:rFonts w:ascii="Times New Roman" w:hAnsi="Times New Roman" w:cs="Times New Roman"/>
          <w:spacing w:val="-3"/>
          <w:sz w:val="22"/>
          <w:szCs w:val="22"/>
          <w:lang w:val="es-ES_tradnl" w:eastAsia="es-ES_tradnl"/>
        </w:rPr>
        <w:t>Excmo. Ayuntamiento</w:t>
      </w:r>
      <w:r w:rsidRPr="00C8275B">
        <w:rPr>
          <w:rFonts w:ascii="Times New Roman" w:hAnsi="Times New Roman" w:cs="Times New Roman"/>
          <w:spacing w:val="-3"/>
          <w:sz w:val="22"/>
          <w:szCs w:val="22"/>
          <w:lang w:val="es-ES_tradnl" w:eastAsia="es-ES_tradnl"/>
        </w:rPr>
        <w:t xml:space="preserve"> de Las Palmas de Gran Canaria a la </w:t>
      </w:r>
      <w:r w:rsidR="00951128">
        <w:rPr>
          <w:rFonts w:ascii="Times New Roman" w:hAnsi="Times New Roman" w:cs="Times New Roman"/>
          <w:spacing w:val="-3"/>
          <w:sz w:val="22"/>
          <w:szCs w:val="22"/>
          <w:lang w:val="es-ES_tradnl" w:eastAsia="es-ES_tradnl"/>
        </w:rPr>
        <w:t>S</w:t>
      </w:r>
      <w:r w:rsidRPr="00C8275B">
        <w:rPr>
          <w:rFonts w:ascii="Times New Roman" w:hAnsi="Times New Roman" w:cs="Times New Roman"/>
          <w:spacing w:val="-3"/>
          <w:sz w:val="22"/>
          <w:szCs w:val="22"/>
          <w:lang w:val="es-ES_tradnl" w:eastAsia="es-ES_tradnl"/>
        </w:rPr>
        <w:t xml:space="preserve">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w:t>
      </w:r>
    </w:p>
    <w:p w14:paraId="40B151B0" w14:textId="77777777" w:rsidR="004816DD" w:rsidRDefault="004816DD"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21E42C6" w14:textId="23F8AC7A" w:rsidR="001F2C56" w:rsidRDefault="00DA20CD"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lastRenderedPageBreak/>
        <w:t xml:space="preserve">Durante el ejercicio </w:t>
      </w:r>
      <w:r w:rsidR="00144341" w:rsidRPr="00C8275B">
        <w:rPr>
          <w:rFonts w:ascii="Times New Roman" w:hAnsi="Times New Roman" w:cs="Times New Roman"/>
          <w:spacing w:val="-3"/>
          <w:sz w:val="22"/>
          <w:szCs w:val="22"/>
          <w:lang w:val="es-ES_tradnl" w:eastAsia="es-ES_tradnl"/>
        </w:rPr>
        <w:t>2022</w:t>
      </w:r>
      <w:r w:rsidR="00596005" w:rsidRPr="00C8275B">
        <w:rPr>
          <w:rFonts w:ascii="Times New Roman" w:hAnsi="Times New Roman" w:cs="Times New Roman"/>
          <w:spacing w:val="-3"/>
          <w:sz w:val="22"/>
          <w:szCs w:val="22"/>
          <w:lang w:val="es-ES_tradnl" w:eastAsia="es-ES_tradnl"/>
        </w:rPr>
        <w:t>,</w:t>
      </w:r>
      <w:r w:rsidR="007A12F4" w:rsidRPr="00C8275B">
        <w:rPr>
          <w:rFonts w:ascii="Times New Roman" w:hAnsi="Times New Roman" w:cs="Times New Roman"/>
          <w:spacing w:val="-3"/>
          <w:sz w:val="22"/>
          <w:szCs w:val="22"/>
          <w:lang w:val="es-ES_tradnl" w:eastAsia="es-ES_tradnl"/>
        </w:rPr>
        <w:t xml:space="preserve"> el tipo medio de interés nominal del préstamo ha sido de 1,19%</w:t>
      </w:r>
      <w:r w:rsidR="00596005" w:rsidRPr="00C8275B">
        <w:rPr>
          <w:rFonts w:ascii="Times New Roman" w:hAnsi="Times New Roman" w:cs="Times New Roman"/>
          <w:spacing w:val="-3"/>
          <w:sz w:val="22"/>
          <w:szCs w:val="22"/>
          <w:lang w:val="es-ES_tradnl" w:eastAsia="es-ES_tradnl"/>
        </w:rPr>
        <w:t>.</w:t>
      </w:r>
      <w:r w:rsidR="00236CFC"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E</w:t>
      </w:r>
      <w:r w:rsidR="001F2C56" w:rsidRPr="00C8275B">
        <w:rPr>
          <w:rFonts w:ascii="Times New Roman" w:hAnsi="Times New Roman" w:cs="Times New Roman"/>
          <w:spacing w:val="-3"/>
          <w:sz w:val="22"/>
          <w:szCs w:val="22"/>
          <w:lang w:val="es-ES_tradnl" w:eastAsia="es-ES_tradnl"/>
        </w:rPr>
        <w:t xml:space="preserve">l desglose por vencimiento del principal </w:t>
      </w:r>
      <w:r w:rsidRPr="00C8275B">
        <w:rPr>
          <w:rFonts w:ascii="Times New Roman" w:hAnsi="Times New Roman" w:cs="Times New Roman"/>
          <w:spacing w:val="-3"/>
          <w:sz w:val="22"/>
          <w:szCs w:val="22"/>
          <w:lang w:val="es-ES_tradnl" w:eastAsia="es-ES_tradnl"/>
        </w:rPr>
        <w:t>para los próximos ejercicios</w:t>
      </w:r>
      <w:r w:rsidR="00596005"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por años</w:t>
      </w:r>
      <w:r w:rsidR="00596005"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es el </w:t>
      </w:r>
      <w:r w:rsidR="001F2C56" w:rsidRPr="00C8275B">
        <w:rPr>
          <w:rFonts w:ascii="Times New Roman" w:hAnsi="Times New Roman" w:cs="Times New Roman"/>
          <w:spacing w:val="-3"/>
          <w:sz w:val="22"/>
          <w:szCs w:val="22"/>
          <w:lang w:val="es-ES_tradnl" w:eastAsia="es-ES_tradnl"/>
        </w:rPr>
        <w:t>siguiente:</w:t>
      </w:r>
    </w:p>
    <w:p w14:paraId="15FD8E5A" w14:textId="3B4AD7DB" w:rsidR="00CF5211" w:rsidRDefault="00CF5211"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D15DF0A" w14:textId="1B273A13" w:rsidR="00F33207"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4347" w:type="dxa"/>
        <w:tblInd w:w="3733" w:type="dxa"/>
        <w:tblCellMar>
          <w:left w:w="70" w:type="dxa"/>
          <w:right w:w="70" w:type="dxa"/>
        </w:tblCellMar>
        <w:tblLook w:val="04A0" w:firstRow="1" w:lastRow="0" w:firstColumn="1" w:lastColumn="0" w:noHBand="0" w:noVBand="1"/>
      </w:tblPr>
      <w:tblGrid>
        <w:gridCol w:w="1567"/>
        <w:gridCol w:w="1383"/>
        <w:gridCol w:w="1397"/>
      </w:tblGrid>
      <w:tr w:rsidR="00F33207" w:rsidRPr="00F33207" w14:paraId="3FC650D0" w14:textId="77777777" w:rsidTr="00414010">
        <w:trPr>
          <w:trHeight w:hRule="exact" w:val="309"/>
        </w:trPr>
        <w:tc>
          <w:tcPr>
            <w:tcW w:w="0" w:type="auto"/>
            <w:tcBorders>
              <w:top w:val="single" w:sz="4" w:space="0" w:color="auto"/>
              <w:left w:val="nil"/>
              <w:right w:val="nil"/>
            </w:tcBorders>
            <w:shd w:val="clear" w:color="auto" w:fill="auto"/>
            <w:vAlign w:val="center"/>
            <w:hideMark/>
          </w:tcPr>
          <w:p w14:paraId="4845E614"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color w:val="000000"/>
                <w:sz w:val="18"/>
                <w:szCs w:val="18"/>
              </w:rPr>
              <w:t> </w:t>
            </w:r>
          </w:p>
        </w:tc>
        <w:tc>
          <w:tcPr>
            <w:tcW w:w="0" w:type="auto"/>
            <w:gridSpan w:val="2"/>
            <w:tcBorders>
              <w:top w:val="single" w:sz="4" w:space="0" w:color="auto"/>
              <w:left w:val="nil"/>
              <w:bottom w:val="single" w:sz="4" w:space="0" w:color="auto"/>
              <w:right w:val="nil"/>
            </w:tcBorders>
            <w:shd w:val="clear" w:color="auto" w:fill="auto"/>
            <w:vAlign w:val="center"/>
            <w:hideMark/>
          </w:tcPr>
          <w:p w14:paraId="3C9874D1" w14:textId="3874D475"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2022</w:t>
            </w:r>
          </w:p>
        </w:tc>
      </w:tr>
      <w:tr w:rsidR="00F33207" w:rsidRPr="00F33207" w14:paraId="129F10E2" w14:textId="77777777" w:rsidTr="00414010">
        <w:trPr>
          <w:trHeight w:hRule="exact" w:val="309"/>
        </w:trPr>
        <w:tc>
          <w:tcPr>
            <w:tcW w:w="0" w:type="auto"/>
            <w:tcBorders>
              <w:left w:val="nil"/>
              <w:bottom w:val="single" w:sz="4" w:space="0" w:color="auto"/>
              <w:right w:val="nil"/>
            </w:tcBorders>
            <w:shd w:val="clear" w:color="auto" w:fill="auto"/>
            <w:vAlign w:val="center"/>
            <w:hideMark/>
          </w:tcPr>
          <w:p w14:paraId="36172211"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color w:val="000000"/>
                <w:sz w:val="18"/>
                <w:szCs w:val="18"/>
              </w:rPr>
              <w:t> </w:t>
            </w:r>
          </w:p>
        </w:tc>
        <w:tc>
          <w:tcPr>
            <w:tcW w:w="0" w:type="auto"/>
            <w:tcBorders>
              <w:top w:val="single" w:sz="4" w:space="0" w:color="auto"/>
              <w:left w:val="nil"/>
              <w:bottom w:val="single" w:sz="4" w:space="0" w:color="auto"/>
              <w:right w:val="nil"/>
            </w:tcBorders>
            <w:shd w:val="clear" w:color="auto" w:fill="auto"/>
            <w:vAlign w:val="center"/>
            <w:hideMark/>
          </w:tcPr>
          <w:p w14:paraId="3082AC3C"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Corto Plazo</w:t>
            </w:r>
          </w:p>
        </w:tc>
        <w:tc>
          <w:tcPr>
            <w:tcW w:w="0" w:type="auto"/>
            <w:tcBorders>
              <w:top w:val="single" w:sz="4" w:space="0" w:color="auto"/>
              <w:left w:val="nil"/>
              <w:bottom w:val="single" w:sz="4" w:space="0" w:color="auto"/>
              <w:right w:val="nil"/>
            </w:tcBorders>
            <w:shd w:val="clear" w:color="auto" w:fill="auto"/>
            <w:vAlign w:val="center"/>
            <w:hideMark/>
          </w:tcPr>
          <w:p w14:paraId="20164D45"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Largo plazo</w:t>
            </w:r>
          </w:p>
        </w:tc>
      </w:tr>
      <w:tr w:rsidR="00F33207" w:rsidRPr="00F33207" w14:paraId="294BBFBB" w14:textId="77777777" w:rsidTr="00B73F85">
        <w:trPr>
          <w:trHeight w:hRule="exact" w:val="309"/>
        </w:trPr>
        <w:tc>
          <w:tcPr>
            <w:tcW w:w="0" w:type="auto"/>
            <w:tcBorders>
              <w:top w:val="single" w:sz="4" w:space="0" w:color="auto"/>
              <w:left w:val="nil"/>
              <w:bottom w:val="single" w:sz="4" w:space="0" w:color="auto"/>
              <w:right w:val="nil"/>
            </w:tcBorders>
            <w:shd w:val="clear" w:color="auto" w:fill="auto"/>
            <w:vAlign w:val="center"/>
            <w:hideMark/>
          </w:tcPr>
          <w:p w14:paraId="7B576625" w14:textId="77777777" w:rsidR="00F33207" w:rsidRPr="00F33207" w:rsidRDefault="00F33207" w:rsidP="00F33207">
            <w:pPr>
              <w:widowControl/>
              <w:autoSpaceDE/>
              <w:autoSpaceDN/>
              <w:adjustRightInd/>
              <w:jc w:val="both"/>
              <w:rPr>
                <w:rFonts w:ascii="Times New Roman" w:hAnsi="Times New Roman" w:cs="Times New Roman"/>
                <w:color w:val="000000"/>
                <w:sz w:val="18"/>
                <w:szCs w:val="18"/>
              </w:rPr>
            </w:pPr>
            <w:r w:rsidRPr="00F33207">
              <w:rPr>
                <w:rFonts w:ascii="Times New Roman" w:hAnsi="Times New Roman" w:cs="Times New Roman"/>
                <w:sz w:val="18"/>
                <w:szCs w:val="18"/>
              </w:rPr>
              <w:t>Ejercicio 2023</w:t>
            </w:r>
          </w:p>
        </w:tc>
        <w:tc>
          <w:tcPr>
            <w:tcW w:w="0" w:type="auto"/>
            <w:tcBorders>
              <w:top w:val="single" w:sz="4" w:space="0" w:color="auto"/>
              <w:left w:val="nil"/>
              <w:bottom w:val="single" w:sz="4" w:space="0" w:color="auto"/>
              <w:right w:val="nil"/>
            </w:tcBorders>
            <w:shd w:val="clear" w:color="auto" w:fill="auto"/>
            <w:vAlign w:val="center"/>
            <w:hideMark/>
          </w:tcPr>
          <w:p w14:paraId="62F6948C" w14:textId="77777777" w:rsidR="00F33207" w:rsidRPr="00F33207" w:rsidRDefault="00F33207" w:rsidP="00F33207">
            <w:pPr>
              <w:widowControl/>
              <w:autoSpaceDE/>
              <w:autoSpaceDN/>
              <w:adjustRightInd/>
              <w:jc w:val="center"/>
              <w:rPr>
                <w:rFonts w:ascii="Times New Roman" w:hAnsi="Times New Roman" w:cs="Times New Roman"/>
                <w:color w:val="000000"/>
                <w:sz w:val="18"/>
                <w:szCs w:val="18"/>
              </w:rPr>
            </w:pPr>
            <w:r w:rsidRPr="00F33207">
              <w:rPr>
                <w:rFonts w:ascii="Times New Roman" w:hAnsi="Times New Roman" w:cs="Times New Roman"/>
                <w:sz w:val="18"/>
                <w:szCs w:val="18"/>
              </w:rPr>
              <w:t>107.721,35</w:t>
            </w:r>
          </w:p>
        </w:tc>
        <w:tc>
          <w:tcPr>
            <w:tcW w:w="0" w:type="auto"/>
            <w:tcBorders>
              <w:top w:val="single" w:sz="4" w:space="0" w:color="auto"/>
              <w:left w:val="nil"/>
              <w:bottom w:val="single" w:sz="4" w:space="0" w:color="auto"/>
              <w:right w:val="nil"/>
            </w:tcBorders>
            <w:shd w:val="clear" w:color="auto" w:fill="auto"/>
            <w:vAlign w:val="center"/>
            <w:hideMark/>
          </w:tcPr>
          <w:p w14:paraId="28ADA97C" w14:textId="3A632D33" w:rsidR="00F33207" w:rsidRPr="00F33207" w:rsidRDefault="00F33207" w:rsidP="00F33207">
            <w:pPr>
              <w:widowControl/>
              <w:autoSpaceDE/>
              <w:autoSpaceDN/>
              <w:adjustRightInd/>
              <w:jc w:val="center"/>
              <w:rPr>
                <w:rFonts w:ascii="Times New Roman" w:hAnsi="Times New Roman" w:cs="Times New Roman"/>
                <w:color w:val="000000"/>
                <w:sz w:val="18"/>
                <w:szCs w:val="18"/>
              </w:rPr>
            </w:pPr>
            <w:r w:rsidRPr="00F33207">
              <w:rPr>
                <w:rFonts w:ascii="Times New Roman" w:hAnsi="Times New Roman" w:cs="Times New Roman"/>
                <w:sz w:val="18"/>
                <w:szCs w:val="18"/>
              </w:rPr>
              <w:t>0</w:t>
            </w:r>
            <w:r>
              <w:rPr>
                <w:rFonts w:ascii="Times New Roman" w:hAnsi="Times New Roman" w:cs="Times New Roman"/>
                <w:sz w:val="18"/>
                <w:szCs w:val="18"/>
              </w:rPr>
              <w:t>,00</w:t>
            </w:r>
          </w:p>
        </w:tc>
      </w:tr>
      <w:tr w:rsidR="00F33207" w:rsidRPr="00F33207" w14:paraId="185A51C4" w14:textId="77777777" w:rsidTr="00F33207">
        <w:trPr>
          <w:trHeight w:hRule="exact" w:val="309"/>
        </w:trPr>
        <w:tc>
          <w:tcPr>
            <w:tcW w:w="0" w:type="auto"/>
            <w:tcBorders>
              <w:top w:val="nil"/>
              <w:left w:val="nil"/>
              <w:bottom w:val="single" w:sz="4" w:space="0" w:color="auto"/>
              <w:right w:val="nil"/>
            </w:tcBorders>
            <w:shd w:val="clear" w:color="auto" w:fill="auto"/>
            <w:vAlign w:val="center"/>
            <w:hideMark/>
          </w:tcPr>
          <w:p w14:paraId="5A073FED" w14:textId="77777777" w:rsidR="00F33207" w:rsidRPr="00F33207" w:rsidRDefault="00F33207" w:rsidP="00731232">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sz w:val="18"/>
                <w:szCs w:val="18"/>
              </w:rPr>
              <w:t>TOTALES</w:t>
            </w:r>
          </w:p>
        </w:tc>
        <w:tc>
          <w:tcPr>
            <w:tcW w:w="0" w:type="auto"/>
            <w:tcBorders>
              <w:top w:val="nil"/>
              <w:left w:val="nil"/>
              <w:bottom w:val="single" w:sz="4" w:space="0" w:color="auto"/>
              <w:right w:val="nil"/>
            </w:tcBorders>
            <w:shd w:val="clear" w:color="auto" w:fill="auto"/>
            <w:vAlign w:val="center"/>
            <w:hideMark/>
          </w:tcPr>
          <w:p w14:paraId="632C3C84" w14:textId="77777777"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noProof/>
                <w:sz w:val="18"/>
                <w:szCs w:val="18"/>
              </w:rPr>
              <w:t>107.721,35</w:t>
            </w:r>
          </w:p>
        </w:tc>
        <w:tc>
          <w:tcPr>
            <w:tcW w:w="0" w:type="auto"/>
            <w:tcBorders>
              <w:top w:val="nil"/>
              <w:left w:val="nil"/>
              <w:bottom w:val="single" w:sz="4" w:space="0" w:color="auto"/>
              <w:right w:val="nil"/>
            </w:tcBorders>
            <w:shd w:val="clear" w:color="auto" w:fill="auto"/>
            <w:vAlign w:val="center"/>
            <w:hideMark/>
          </w:tcPr>
          <w:p w14:paraId="331A707E" w14:textId="650AF90D" w:rsidR="00F33207" w:rsidRPr="00F33207" w:rsidRDefault="00F33207" w:rsidP="00F33207">
            <w:pPr>
              <w:widowControl/>
              <w:autoSpaceDE/>
              <w:autoSpaceDN/>
              <w:adjustRightInd/>
              <w:jc w:val="center"/>
              <w:rPr>
                <w:rFonts w:ascii="Times New Roman" w:hAnsi="Times New Roman" w:cs="Times New Roman"/>
                <w:b/>
                <w:bCs/>
                <w:color w:val="000000"/>
                <w:sz w:val="18"/>
                <w:szCs w:val="18"/>
              </w:rPr>
            </w:pPr>
            <w:r w:rsidRPr="00F33207">
              <w:rPr>
                <w:rFonts w:ascii="Times New Roman" w:hAnsi="Times New Roman" w:cs="Times New Roman"/>
                <w:b/>
                <w:bCs/>
                <w:noProof/>
                <w:sz w:val="18"/>
                <w:szCs w:val="18"/>
              </w:rPr>
              <w:t>0</w:t>
            </w:r>
            <w:r>
              <w:rPr>
                <w:rFonts w:ascii="Times New Roman" w:hAnsi="Times New Roman" w:cs="Times New Roman"/>
                <w:b/>
                <w:bCs/>
                <w:noProof/>
                <w:sz w:val="18"/>
                <w:szCs w:val="18"/>
              </w:rPr>
              <w:t>,00</w:t>
            </w:r>
          </w:p>
        </w:tc>
      </w:tr>
    </w:tbl>
    <w:p w14:paraId="5E1D8087" w14:textId="77777777" w:rsidR="00F33207"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FB8E47E" w14:textId="77777777" w:rsidR="00F33207" w:rsidRPr="00C8275B" w:rsidRDefault="00F33207" w:rsidP="001F2C56">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4B6F06DA" w14:textId="77777777" w:rsidR="00AA0EFF" w:rsidRPr="00C8275B" w:rsidRDefault="00AA0EFF" w:rsidP="00AA0EFF">
      <w:pPr>
        <w:shd w:val="clear" w:color="auto" w:fill="FFFFFF"/>
        <w:ind w:left="709"/>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C) OTRA INFORMACIÓN</w:t>
      </w:r>
    </w:p>
    <w:p w14:paraId="7D66BA39" w14:textId="77777777" w:rsidR="00AA0EFF" w:rsidRPr="00C8275B" w:rsidRDefault="00AA0EFF" w:rsidP="00AA0EFF">
      <w:pPr>
        <w:pStyle w:val="Default"/>
        <w:jc w:val="both"/>
        <w:rPr>
          <w:rFonts w:ascii="Times New Roman" w:hAnsi="Times New Roman" w:cs="Times New Roman"/>
          <w:b/>
          <w:color w:val="auto"/>
          <w:sz w:val="22"/>
          <w:szCs w:val="22"/>
        </w:rPr>
      </w:pPr>
    </w:p>
    <w:p w14:paraId="69032586" w14:textId="4D76447B" w:rsidR="00AA0EFF" w:rsidRDefault="00AA0EFF" w:rsidP="00AA0EFF">
      <w:pPr>
        <w:pStyle w:val="Default"/>
        <w:ind w:left="709"/>
        <w:jc w:val="both"/>
        <w:rPr>
          <w:rFonts w:ascii="Times New Roman" w:hAnsi="Times New Roman" w:cs="Times New Roman"/>
          <w:color w:val="auto"/>
          <w:spacing w:val="-2"/>
          <w:sz w:val="22"/>
          <w:szCs w:val="22"/>
          <w:lang w:val="es-ES_tradnl" w:eastAsia="es-ES_tradnl"/>
        </w:rPr>
      </w:pPr>
      <w:r w:rsidRPr="00C8275B">
        <w:rPr>
          <w:rFonts w:ascii="Times New Roman" w:hAnsi="Times New Roman" w:cs="Times New Roman"/>
          <w:color w:val="auto"/>
          <w:spacing w:val="-2"/>
          <w:sz w:val="22"/>
          <w:szCs w:val="22"/>
          <w:lang w:val="es-ES_tradnl" w:eastAsia="es-ES_tradnl"/>
        </w:rPr>
        <w:t>Las pérdidas y ganancias vinculadas a instrumentos financieros con reflejo en la cuenta de resultados se recogen en los resultados financieros siguientes:</w:t>
      </w:r>
    </w:p>
    <w:p w14:paraId="4D2E0A29" w14:textId="7A489AD0" w:rsidR="00F33207" w:rsidRDefault="00F33207" w:rsidP="00AA0EFF">
      <w:pPr>
        <w:pStyle w:val="Default"/>
        <w:ind w:left="709"/>
        <w:jc w:val="both"/>
        <w:rPr>
          <w:rFonts w:ascii="Times New Roman" w:hAnsi="Times New Roman" w:cs="Times New Roman"/>
          <w:color w:val="auto"/>
          <w:spacing w:val="-2"/>
          <w:sz w:val="22"/>
          <w:szCs w:val="22"/>
          <w:lang w:val="es-ES_tradnl" w:eastAsia="es-ES_tradnl"/>
        </w:rPr>
      </w:pPr>
    </w:p>
    <w:tbl>
      <w:tblPr>
        <w:tblW w:w="5648" w:type="dxa"/>
        <w:jc w:val="center"/>
        <w:tblCellMar>
          <w:left w:w="70" w:type="dxa"/>
          <w:right w:w="70" w:type="dxa"/>
        </w:tblCellMar>
        <w:tblLook w:val="04A0" w:firstRow="1" w:lastRow="0" w:firstColumn="1" w:lastColumn="0" w:noHBand="0" w:noVBand="1"/>
      </w:tblPr>
      <w:tblGrid>
        <w:gridCol w:w="2976"/>
        <w:gridCol w:w="1336"/>
        <w:gridCol w:w="1336"/>
      </w:tblGrid>
      <w:tr w:rsidR="00F33207" w:rsidRPr="00F33207" w14:paraId="13448FFB" w14:textId="77777777" w:rsidTr="00F33207">
        <w:trPr>
          <w:trHeight w:val="300"/>
          <w:jc w:val="center"/>
        </w:trPr>
        <w:tc>
          <w:tcPr>
            <w:tcW w:w="2976" w:type="dxa"/>
            <w:tcBorders>
              <w:top w:val="single" w:sz="4" w:space="0" w:color="auto"/>
              <w:left w:val="nil"/>
              <w:bottom w:val="single" w:sz="4" w:space="0" w:color="auto"/>
              <w:right w:val="nil"/>
            </w:tcBorders>
            <w:shd w:val="clear" w:color="auto" w:fill="auto"/>
            <w:noWrap/>
            <w:vAlign w:val="bottom"/>
            <w:hideMark/>
          </w:tcPr>
          <w:p w14:paraId="614ECA04" w14:textId="77777777"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 </w:t>
            </w:r>
          </w:p>
        </w:tc>
        <w:tc>
          <w:tcPr>
            <w:tcW w:w="1336" w:type="dxa"/>
            <w:tcBorders>
              <w:top w:val="single" w:sz="4" w:space="0" w:color="auto"/>
              <w:left w:val="nil"/>
              <w:bottom w:val="single" w:sz="4" w:space="0" w:color="auto"/>
              <w:right w:val="nil"/>
            </w:tcBorders>
            <w:shd w:val="clear" w:color="auto" w:fill="auto"/>
            <w:noWrap/>
            <w:vAlign w:val="center"/>
            <w:hideMark/>
          </w:tcPr>
          <w:p w14:paraId="26A8D525" w14:textId="35A91645"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2022</w:t>
            </w:r>
          </w:p>
        </w:tc>
        <w:tc>
          <w:tcPr>
            <w:tcW w:w="1336" w:type="dxa"/>
            <w:tcBorders>
              <w:top w:val="single" w:sz="4" w:space="0" w:color="auto"/>
              <w:left w:val="nil"/>
              <w:bottom w:val="single" w:sz="4" w:space="0" w:color="auto"/>
              <w:right w:val="nil"/>
            </w:tcBorders>
            <w:shd w:val="clear" w:color="auto" w:fill="auto"/>
            <w:noWrap/>
            <w:vAlign w:val="center"/>
            <w:hideMark/>
          </w:tcPr>
          <w:p w14:paraId="3605B02D" w14:textId="5074C84F" w:rsidR="00F33207" w:rsidRPr="00F33207" w:rsidRDefault="00F33207" w:rsidP="00F33207">
            <w:pPr>
              <w:widowControl/>
              <w:autoSpaceDE/>
              <w:autoSpaceDN/>
              <w:adjustRightInd/>
              <w:jc w:val="center"/>
              <w:rPr>
                <w:rFonts w:ascii="Times New Roman" w:hAnsi="Times New Roman" w:cs="Times New Roman"/>
                <w:b/>
                <w:bCs/>
                <w:sz w:val="18"/>
                <w:szCs w:val="18"/>
              </w:rPr>
            </w:pPr>
            <w:r w:rsidRPr="00F33207">
              <w:rPr>
                <w:rFonts w:ascii="Times New Roman" w:hAnsi="Times New Roman" w:cs="Times New Roman"/>
                <w:b/>
                <w:bCs/>
                <w:sz w:val="18"/>
                <w:szCs w:val="18"/>
              </w:rPr>
              <w:t>2021</w:t>
            </w:r>
          </w:p>
        </w:tc>
      </w:tr>
      <w:tr w:rsidR="00F33207" w:rsidRPr="00F33207" w14:paraId="3D6A4C43"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48545DA9" w14:textId="77777777" w:rsidR="00F33207" w:rsidRPr="00F33207" w:rsidRDefault="00F33207" w:rsidP="00F33207">
            <w:pPr>
              <w:widowControl/>
              <w:autoSpaceDE/>
              <w:autoSpaceDN/>
              <w:adjustRightInd/>
              <w:rPr>
                <w:rFonts w:ascii="Times New Roman" w:hAnsi="Times New Roman" w:cs="Times New Roman"/>
              </w:rPr>
            </w:pPr>
            <w:r w:rsidRPr="00F33207">
              <w:rPr>
                <w:rFonts w:ascii="Times New Roman" w:hAnsi="Times New Roman" w:cs="Times New Roman"/>
              </w:rPr>
              <w:t>Ingresos Financieros</w:t>
            </w:r>
          </w:p>
        </w:tc>
        <w:tc>
          <w:tcPr>
            <w:tcW w:w="1336" w:type="dxa"/>
            <w:tcBorders>
              <w:top w:val="nil"/>
              <w:left w:val="nil"/>
              <w:bottom w:val="single" w:sz="4" w:space="0" w:color="auto"/>
              <w:right w:val="nil"/>
            </w:tcBorders>
            <w:shd w:val="clear" w:color="auto" w:fill="auto"/>
            <w:vAlign w:val="center"/>
            <w:hideMark/>
          </w:tcPr>
          <w:p w14:paraId="6799EF30"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2.766,39</w:t>
            </w:r>
          </w:p>
        </w:tc>
        <w:tc>
          <w:tcPr>
            <w:tcW w:w="1336" w:type="dxa"/>
            <w:tcBorders>
              <w:top w:val="nil"/>
              <w:left w:val="nil"/>
              <w:bottom w:val="single" w:sz="4" w:space="0" w:color="auto"/>
              <w:right w:val="nil"/>
            </w:tcBorders>
            <w:shd w:val="clear" w:color="auto" w:fill="auto"/>
            <w:vAlign w:val="center"/>
            <w:hideMark/>
          </w:tcPr>
          <w:p w14:paraId="1779F9A1"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244.462,11</w:t>
            </w:r>
          </w:p>
        </w:tc>
      </w:tr>
      <w:tr w:rsidR="00F33207" w:rsidRPr="00F33207" w14:paraId="6D7A4595"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31FC77B7" w14:textId="77777777" w:rsidR="00F33207" w:rsidRPr="00F33207" w:rsidRDefault="00F33207" w:rsidP="00F33207">
            <w:pPr>
              <w:widowControl/>
              <w:autoSpaceDE/>
              <w:autoSpaceDN/>
              <w:adjustRightInd/>
              <w:rPr>
                <w:rFonts w:ascii="Times New Roman" w:hAnsi="Times New Roman" w:cs="Times New Roman"/>
              </w:rPr>
            </w:pPr>
            <w:r w:rsidRPr="00F33207">
              <w:rPr>
                <w:rFonts w:ascii="Times New Roman" w:hAnsi="Times New Roman" w:cs="Times New Roman"/>
              </w:rPr>
              <w:t>Gastos Financieros</w:t>
            </w:r>
          </w:p>
        </w:tc>
        <w:tc>
          <w:tcPr>
            <w:tcW w:w="1336" w:type="dxa"/>
            <w:tcBorders>
              <w:top w:val="nil"/>
              <w:left w:val="nil"/>
              <w:bottom w:val="single" w:sz="4" w:space="0" w:color="auto"/>
              <w:right w:val="nil"/>
            </w:tcBorders>
            <w:shd w:val="clear" w:color="auto" w:fill="auto"/>
            <w:vAlign w:val="center"/>
            <w:hideMark/>
          </w:tcPr>
          <w:p w14:paraId="3D8964FF"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-482,76</w:t>
            </w:r>
          </w:p>
        </w:tc>
        <w:tc>
          <w:tcPr>
            <w:tcW w:w="1336" w:type="dxa"/>
            <w:tcBorders>
              <w:top w:val="nil"/>
              <w:left w:val="nil"/>
              <w:bottom w:val="single" w:sz="4" w:space="0" w:color="auto"/>
              <w:right w:val="nil"/>
            </w:tcBorders>
            <w:shd w:val="clear" w:color="auto" w:fill="auto"/>
            <w:vAlign w:val="center"/>
            <w:hideMark/>
          </w:tcPr>
          <w:p w14:paraId="5AF46958" w14:textId="77777777" w:rsidR="00F33207" w:rsidRPr="00F33207" w:rsidRDefault="00F33207" w:rsidP="00F33207">
            <w:pPr>
              <w:widowControl/>
              <w:autoSpaceDE/>
              <w:autoSpaceDN/>
              <w:adjustRightInd/>
              <w:jc w:val="center"/>
              <w:rPr>
                <w:rFonts w:ascii="Times New Roman" w:hAnsi="Times New Roman" w:cs="Times New Roman"/>
              </w:rPr>
            </w:pPr>
            <w:r w:rsidRPr="00F33207">
              <w:rPr>
                <w:rFonts w:ascii="Times New Roman" w:hAnsi="Times New Roman" w:cs="Times New Roman"/>
              </w:rPr>
              <w:t>-6.136,56</w:t>
            </w:r>
          </w:p>
        </w:tc>
      </w:tr>
      <w:tr w:rsidR="00F33207" w:rsidRPr="00F33207" w14:paraId="0ED662A7" w14:textId="77777777" w:rsidTr="00F33207">
        <w:trPr>
          <w:trHeight w:val="300"/>
          <w:jc w:val="center"/>
        </w:trPr>
        <w:tc>
          <w:tcPr>
            <w:tcW w:w="2976" w:type="dxa"/>
            <w:tcBorders>
              <w:top w:val="nil"/>
              <w:left w:val="nil"/>
              <w:bottom w:val="single" w:sz="4" w:space="0" w:color="auto"/>
              <w:right w:val="nil"/>
            </w:tcBorders>
            <w:shd w:val="clear" w:color="auto" w:fill="auto"/>
            <w:vAlign w:val="center"/>
            <w:hideMark/>
          </w:tcPr>
          <w:p w14:paraId="06CC658F" w14:textId="77777777" w:rsidR="00F33207" w:rsidRPr="00F33207" w:rsidRDefault="00F33207" w:rsidP="00F33207">
            <w:pPr>
              <w:widowControl/>
              <w:autoSpaceDE/>
              <w:autoSpaceDN/>
              <w:adjustRightInd/>
              <w:ind w:firstLineChars="500" w:firstLine="1004"/>
              <w:jc w:val="right"/>
              <w:rPr>
                <w:rFonts w:ascii="Times New Roman" w:hAnsi="Times New Roman" w:cs="Times New Roman"/>
                <w:b/>
                <w:bCs/>
              </w:rPr>
            </w:pPr>
            <w:r w:rsidRPr="00F33207">
              <w:rPr>
                <w:rFonts w:ascii="Times New Roman" w:hAnsi="Times New Roman" w:cs="Times New Roman"/>
                <w:b/>
                <w:bCs/>
              </w:rPr>
              <w:t>T O T A L</w:t>
            </w:r>
          </w:p>
        </w:tc>
        <w:tc>
          <w:tcPr>
            <w:tcW w:w="1336" w:type="dxa"/>
            <w:tcBorders>
              <w:top w:val="nil"/>
              <w:left w:val="nil"/>
              <w:bottom w:val="single" w:sz="4" w:space="0" w:color="auto"/>
              <w:right w:val="nil"/>
            </w:tcBorders>
            <w:shd w:val="clear" w:color="auto" w:fill="auto"/>
            <w:vAlign w:val="center"/>
            <w:hideMark/>
          </w:tcPr>
          <w:p w14:paraId="6A60DF4F" w14:textId="77777777" w:rsidR="00F33207" w:rsidRPr="00F33207" w:rsidRDefault="00F33207" w:rsidP="00F33207">
            <w:pPr>
              <w:widowControl/>
              <w:autoSpaceDE/>
              <w:autoSpaceDN/>
              <w:adjustRightInd/>
              <w:jc w:val="center"/>
              <w:rPr>
                <w:rFonts w:ascii="Times New Roman" w:hAnsi="Times New Roman" w:cs="Times New Roman"/>
                <w:b/>
                <w:bCs/>
              </w:rPr>
            </w:pPr>
            <w:r w:rsidRPr="00F33207">
              <w:rPr>
                <w:rFonts w:ascii="Times New Roman" w:hAnsi="Times New Roman" w:cs="Times New Roman"/>
                <w:b/>
                <w:bCs/>
              </w:rPr>
              <w:t>2.283,63</w:t>
            </w:r>
          </w:p>
        </w:tc>
        <w:tc>
          <w:tcPr>
            <w:tcW w:w="1336" w:type="dxa"/>
            <w:tcBorders>
              <w:top w:val="nil"/>
              <w:left w:val="nil"/>
              <w:bottom w:val="single" w:sz="4" w:space="0" w:color="auto"/>
              <w:right w:val="nil"/>
            </w:tcBorders>
            <w:shd w:val="clear" w:color="auto" w:fill="auto"/>
            <w:vAlign w:val="center"/>
            <w:hideMark/>
          </w:tcPr>
          <w:p w14:paraId="2163DB07" w14:textId="77777777" w:rsidR="00F33207" w:rsidRPr="00F33207" w:rsidRDefault="00F33207" w:rsidP="00F33207">
            <w:pPr>
              <w:widowControl/>
              <w:autoSpaceDE/>
              <w:autoSpaceDN/>
              <w:adjustRightInd/>
              <w:jc w:val="center"/>
              <w:rPr>
                <w:rFonts w:ascii="Times New Roman" w:hAnsi="Times New Roman" w:cs="Times New Roman"/>
                <w:b/>
                <w:bCs/>
              </w:rPr>
            </w:pPr>
            <w:r w:rsidRPr="00F33207">
              <w:rPr>
                <w:rFonts w:ascii="Times New Roman" w:hAnsi="Times New Roman" w:cs="Times New Roman"/>
                <w:b/>
                <w:bCs/>
              </w:rPr>
              <w:t>238.325,55</w:t>
            </w:r>
          </w:p>
        </w:tc>
      </w:tr>
    </w:tbl>
    <w:p w14:paraId="4E68082F" w14:textId="080EDF33" w:rsidR="00F33207" w:rsidRDefault="00F33207" w:rsidP="00AA0EFF">
      <w:pPr>
        <w:pStyle w:val="Default"/>
        <w:ind w:left="709"/>
        <w:jc w:val="both"/>
        <w:rPr>
          <w:rFonts w:ascii="Times New Roman" w:hAnsi="Times New Roman" w:cs="Times New Roman"/>
          <w:color w:val="auto"/>
          <w:spacing w:val="-2"/>
          <w:sz w:val="22"/>
          <w:szCs w:val="22"/>
          <w:lang w:val="es-ES_tradnl" w:eastAsia="es-ES_tradnl"/>
        </w:rPr>
      </w:pPr>
    </w:p>
    <w:p w14:paraId="38C37998" w14:textId="77777777" w:rsidR="00AA0EFF" w:rsidRPr="00C8275B" w:rsidRDefault="00AA0EFF" w:rsidP="00AA0EFF">
      <w:pPr>
        <w:pStyle w:val="Default"/>
        <w:ind w:left="709"/>
        <w:jc w:val="both"/>
        <w:rPr>
          <w:rFonts w:ascii="Times New Roman" w:hAnsi="Times New Roman" w:cs="Times New Roman"/>
          <w:color w:val="0000FF"/>
          <w:spacing w:val="-2"/>
          <w:sz w:val="22"/>
          <w:szCs w:val="22"/>
          <w:lang w:val="es-ES_tradnl" w:eastAsia="es-ES_tradnl"/>
        </w:rPr>
      </w:pPr>
    </w:p>
    <w:p w14:paraId="3C2E98E9" w14:textId="09DFF08B" w:rsidR="002D7477" w:rsidRDefault="002D7477" w:rsidP="002D7477">
      <w:pPr>
        <w:shd w:val="clear" w:color="auto" w:fill="FFFFFF"/>
        <w:ind w:left="709"/>
        <w:jc w:val="both"/>
        <w:rPr>
          <w:rFonts w:ascii="Times New Roman" w:hAnsi="Times New Roman" w:cs="Times New Roman"/>
          <w:b/>
          <w:spacing w:val="-2"/>
          <w:sz w:val="22"/>
          <w:szCs w:val="22"/>
          <w:u w:val="single"/>
          <w:lang w:val="es-ES_tradnl" w:eastAsia="es-ES_tradnl"/>
        </w:rPr>
      </w:pPr>
    </w:p>
    <w:p w14:paraId="6F1BB113" w14:textId="77777777" w:rsidR="00486703" w:rsidRPr="00C8275B" w:rsidRDefault="00486703" w:rsidP="002D7477">
      <w:pPr>
        <w:shd w:val="clear" w:color="auto" w:fill="FFFFFF"/>
        <w:ind w:left="709"/>
        <w:jc w:val="both"/>
        <w:rPr>
          <w:rFonts w:ascii="Times New Roman" w:hAnsi="Times New Roman" w:cs="Times New Roman"/>
          <w:b/>
          <w:spacing w:val="-2"/>
          <w:sz w:val="22"/>
          <w:szCs w:val="22"/>
          <w:u w:val="single"/>
          <w:lang w:val="es-ES_tradnl" w:eastAsia="es-ES_tradnl"/>
        </w:rPr>
      </w:pPr>
    </w:p>
    <w:p w14:paraId="62ACEF25" w14:textId="322CEFB5" w:rsidR="00DC2644" w:rsidRPr="00C8275B" w:rsidRDefault="008513D2" w:rsidP="00DC2644">
      <w:pPr>
        <w:shd w:val="clear" w:color="auto" w:fill="FFFFFF"/>
        <w:ind w:firstLine="709"/>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t>9</w:t>
      </w:r>
      <w:r w:rsidR="00DC2644" w:rsidRPr="00C8275B">
        <w:rPr>
          <w:rFonts w:ascii="Times New Roman" w:hAnsi="Times New Roman" w:cs="Times New Roman"/>
          <w:b/>
          <w:bCs/>
          <w:sz w:val="22"/>
          <w:szCs w:val="22"/>
          <w:lang w:val="es-ES_tradnl" w:eastAsia="es-ES_tradnl"/>
        </w:rPr>
        <w:t xml:space="preserve">. </w:t>
      </w:r>
      <w:r w:rsidR="00DC2644" w:rsidRPr="00C8275B">
        <w:rPr>
          <w:rFonts w:ascii="Times New Roman" w:hAnsi="Times New Roman" w:cs="Times New Roman"/>
          <w:b/>
          <w:bCs/>
          <w:sz w:val="22"/>
          <w:szCs w:val="22"/>
          <w:u w:val="double"/>
          <w:lang w:val="es-ES_tradnl" w:eastAsia="es-ES_tradnl"/>
        </w:rPr>
        <w:t>FONDOS PROPIOS</w:t>
      </w:r>
      <w:r w:rsidR="00DC2644" w:rsidRPr="00C8275B">
        <w:rPr>
          <w:rFonts w:ascii="Times New Roman" w:hAnsi="Times New Roman" w:cs="Times New Roman"/>
          <w:b/>
          <w:bCs/>
          <w:sz w:val="22"/>
          <w:szCs w:val="22"/>
          <w:lang w:val="es-ES_tradnl" w:eastAsia="es-ES_tradnl"/>
        </w:rPr>
        <w:t xml:space="preserve"> </w:t>
      </w:r>
    </w:p>
    <w:p w14:paraId="1F5F49BE" w14:textId="77777777" w:rsidR="006D11F1" w:rsidRPr="00C8275B" w:rsidRDefault="006D11F1"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259CB5B2" w14:textId="77777777"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Con fecha 31 de julio de 2020, el Pleno del </w:t>
      </w:r>
      <w:r w:rsidR="00A91F42" w:rsidRPr="00C8275B">
        <w:rPr>
          <w:rFonts w:ascii="Times New Roman" w:hAnsi="Times New Roman" w:cs="Times New Roman"/>
          <w:spacing w:val="-3"/>
          <w:sz w:val="22"/>
          <w:szCs w:val="22"/>
          <w:lang w:val="es-ES_tradnl" w:eastAsia="es-ES_tradnl"/>
        </w:rPr>
        <w:t>Excmo. Ayuntamiento</w:t>
      </w:r>
      <w:r w:rsidR="00DD666B" w:rsidRPr="00C8275B">
        <w:rPr>
          <w:rFonts w:ascii="Times New Roman" w:hAnsi="Times New Roman" w:cs="Times New Roman"/>
          <w:spacing w:val="-3"/>
          <w:sz w:val="22"/>
          <w:szCs w:val="22"/>
          <w:lang w:val="es-ES_tradnl" w:eastAsia="es-ES_tradnl"/>
        </w:rPr>
        <w:t xml:space="preserve"> de Las Palmas de Gran Canaria</w:t>
      </w:r>
      <w:r w:rsidRPr="00C8275B">
        <w:rPr>
          <w:rFonts w:ascii="Times New Roman" w:hAnsi="Times New Roman" w:cs="Times New Roman"/>
          <w:spacing w:val="-3"/>
          <w:sz w:val="22"/>
          <w:szCs w:val="22"/>
          <w:lang w:val="es-ES_tradnl" w:eastAsia="es-ES_tradnl"/>
        </w:rPr>
        <w:t>,</w:t>
      </w:r>
      <w:r w:rsidR="00DD666B"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socio único de esta Sociedad, en funciones de Junta General de “PROMOCIÓN DE LA CIUDAD DE LAS PALMAS DE GRAN CANARIA, S.A., aprobó la ampliación de capital por aportación dineraria por importe de DOS MILLONES DE EUROS (2.000.000,00 €), mediante la emisión de 3.326 acciones nominativas de nueva creación, todas ellas con igual valor nominal de 601,32291 euros euro cada una.</w:t>
      </w:r>
    </w:p>
    <w:p w14:paraId="07F345EF" w14:textId="77777777"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ACE9441" w14:textId="77777777" w:rsidR="00774C8A" w:rsidRPr="00C8275B" w:rsidRDefault="00774C8A"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021A3E76" w14:textId="64171449" w:rsidR="00C22550" w:rsidRPr="00C8275B" w:rsidRDefault="00C22550"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A tenor de lo cual el Capital Social de la entidad asciende a DOS MILLONES SESENTA MIL CIENTO DOS EUROS (2.060.102), totalmente suscrito y desembolsado por el Excelentísimo </w:t>
      </w:r>
      <w:r w:rsidR="00A91F42" w:rsidRPr="00C8275B">
        <w:rPr>
          <w:rFonts w:ascii="Times New Roman" w:hAnsi="Times New Roman" w:cs="Times New Roman"/>
          <w:spacing w:val="-3"/>
          <w:sz w:val="22"/>
          <w:szCs w:val="22"/>
          <w:lang w:val="es-ES_tradnl" w:eastAsia="es-ES_tradnl"/>
        </w:rPr>
        <w:t>Excmo. Ayuntamiento</w:t>
      </w:r>
      <w:r w:rsidRPr="00C8275B">
        <w:rPr>
          <w:rFonts w:ascii="Times New Roman" w:hAnsi="Times New Roman" w:cs="Times New Roman"/>
          <w:spacing w:val="-3"/>
          <w:sz w:val="22"/>
          <w:szCs w:val="22"/>
          <w:lang w:val="es-ES_tradnl" w:eastAsia="es-ES_tradnl"/>
        </w:rPr>
        <w:t xml:space="preserve"> de Las Palmas de Gran Canaria. El Capital social es de la exclusiva propiedad de la Corporación Municipal y está sujeto a lo establecido en el párrafo 2º del artículo 89 del Reglamento de Servicios de las Corporaciones Locales. El capital social está dividido en tres mil cuatrocientas veinte y seis acciones nominativas por valor de 601,02 euros las numeradas del 1 al 100, de la serie A y un valor de 601,32291, las numeradas del 101 al 3.426, ambos inclusive, de la serie B.</w:t>
      </w:r>
    </w:p>
    <w:p w14:paraId="43DAD4DD" w14:textId="77777777" w:rsidR="00BD0FD3" w:rsidRPr="00C8275B" w:rsidRDefault="00BD0FD3" w:rsidP="00C2255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003968C0"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46958FA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1BB32FF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796BD102"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4310D5F0"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396DBD8E"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2477DC2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78E89A1F"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1D8C3FA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515F367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7BC01DDB"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675A3BF0"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03BE3824"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479DAD44"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1656A817" w14:textId="77777777" w:rsidR="009A6F4A" w:rsidRDefault="009A6F4A" w:rsidP="009B4B09">
      <w:pPr>
        <w:shd w:val="clear" w:color="auto" w:fill="FFFFFF"/>
        <w:ind w:firstLine="709"/>
        <w:jc w:val="both"/>
        <w:rPr>
          <w:rFonts w:ascii="Times New Roman" w:hAnsi="Times New Roman" w:cs="Times New Roman"/>
          <w:b/>
          <w:bCs/>
          <w:sz w:val="22"/>
          <w:szCs w:val="22"/>
          <w:lang w:val="es-ES_tradnl" w:eastAsia="es-ES_tradnl"/>
        </w:rPr>
      </w:pPr>
    </w:p>
    <w:p w14:paraId="797188E5" w14:textId="070CEFC2" w:rsidR="009B4B09" w:rsidRPr="00C8275B" w:rsidRDefault="008513D2" w:rsidP="009B4B09">
      <w:pPr>
        <w:shd w:val="clear" w:color="auto" w:fill="FFFFFF"/>
        <w:ind w:firstLine="709"/>
        <w:jc w:val="both"/>
        <w:rPr>
          <w:rFonts w:ascii="Times New Roman" w:hAnsi="Times New Roman" w:cs="Times New Roman"/>
          <w:b/>
          <w:bCs/>
          <w:sz w:val="22"/>
          <w:szCs w:val="22"/>
          <w:lang w:val="es-ES_tradnl" w:eastAsia="es-ES_tradnl"/>
        </w:rPr>
      </w:pPr>
      <w:r w:rsidRPr="00C8275B">
        <w:rPr>
          <w:rFonts w:ascii="Times New Roman" w:hAnsi="Times New Roman" w:cs="Times New Roman"/>
          <w:b/>
          <w:bCs/>
          <w:sz w:val="22"/>
          <w:szCs w:val="22"/>
          <w:lang w:val="es-ES_tradnl" w:eastAsia="es-ES_tradnl"/>
        </w:rPr>
        <w:lastRenderedPageBreak/>
        <w:t>10</w:t>
      </w:r>
      <w:r w:rsidR="009B4B09" w:rsidRPr="00C8275B">
        <w:rPr>
          <w:rFonts w:ascii="Times New Roman" w:hAnsi="Times New Roman" w:cs="Times New Roman"/>
          <w:b/>
          <w:bCs/>
          <w:sz w:val="22"/>
          <w:szCs w:val="22"/>
          <w:lang w:val="es-ES_tradnl" w:eastAsia="es-ES_tradnl"/>
        </w:rPr>
        <w:t xml:space="preserve">. </w:t>
      </w:r>
      <w:r w:rsidR="009B4B09" w:rsidRPr="00C8275B">
        <w:rPr>
          <w:rFonts w:ascii="Times New Roman" w:hAnsi="Times New Roman" w:cs="Times New Roman"/>
          <w:b/>
          <w:bCs/>
          <w:sz w:val="22"/>
          <w:szCs w:val="22"/>
          <w:u w:val="double"/>
          <w:lang w:val="es-ES_tradnl" w:eastAsia="es-ES_tradnl"/>
        </w:rPr>
        <w:t>SITUACIÓN FISCAL</w:t>
      </w:r>
      <w:r w:rsidR="009B4B09" w:rsidRPr="00C8275B">
        <w:rPr>
          <w:rFonts w:ascii="Times New Roman" w:hAnsi="Times New Roman" w:cs="Times New Roman"/>
          <w:b/>
          <w:bCs/>
          <w:sz w:val="22"/>
          <w:szCs w:val="22"/>
          <w:lang w:val="es-ES_tradnl" w:eastAsia="es-ES_tradnl"/>
        </w:rPr>
        <w:t xml:space="preserve">  </w:t>
      </w:r>
    </w:p>
    <w:p w14:paraId="139DA70A" w14:textId="77777777" w:rsidR="00071DEA" w:rsidRPr="00C8275B" w:rsidRDefault="00071DEA" w:rsidP="009B4B09">
      <w:pPr>
        <w:shd w:val="clear" w:color="auto" w:fill="FFFFFF"/>
        <w:ind w:firstLine="709"/>
        <w:jc w:val="both"/>
        <w:rPr>
          <w:rFonts w:ascii="Times New Roman" w:hAnsi="Times New Roman" w:cs="Times New Roman"/>
          <w:b/>
          <w:sz w:val="22"/>
          <w:szCs w:val="22"/>
        </w:rPr>
      </w:pPr>
    </w:p>
    <w:p w14:paraId="221DE933" w14:textId="77777777" w:rsidR="0085082D" w:rsidRPr="00C8275B" w:rsidRDefault="0085082D" w:rsidP="009B4B09">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Saldos con Administraciones Públicas</w:t>
      </w:r>
    </w:p>
    <w:p w14:paraId="708816B3" w14:textId="77777777" w:rsidR="0085082D" w:rsidRPr="00C8275B" w:rsidRDefault="0085082D" w:rsidP="009B4B09">
      <w:pPr>
        <w:shd w:val="clear" w:color="auto" w:fill="FFFFFF"/>
        <w:ind w:firstLine="709"/>
        <w:jc w:val="both"/>
        <w:rPr>
          <w:rFonts w:ascii="Times New Roman" w:hAnsi="Times New Roman" w:cs="Times New Roman"/>
          <w:b/>
          <w:sz w:val="22"/>
          <w:szCs w:val="22"/>
        </w:rPr>
      </w:pPr>
    </w:p>
    <w:p w14:paraId="2FDBD4AD" w14:textId="1E94206A" w:rsidR="005C4F30" w:rsidRDefault="005C4F30"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Sociedad mantenía al cierre del ejercicio los siguientes saldos con las Administraciones Públicas:</w:t>
      </w:r>
    </w:p>
    <w:p w14:paraId="33AC3E3A" w14:textId="71DC07FD" w:rsidR="00EB5A5E" w:rsidRDefault="00EB5A5E"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9144" w:type="dxa"/>
        <w:jc w:val="right"/>
        <w:tblCellMar>
          <w:left w:w="70" w:type="dxa"/>
          <w:right w:w="70" w:type="dxa"/>
        </w:tblCellMar>
        <w:tblLook w:val="04A0" w:firstRow="1" w:lastRow="0" w:firstColumn="1" w:lastColumn="0" w:noHBand="0" w:noVBand="1"/>
      </w:tblPr>
      <w:tblGrid>
        <w:gridCol w:w="3782"/>
        <w:gridCol w:w="1310"/>
        <w:gridCol w:w="1371"/>
        <w:gridCol w:w="1310"/>
        <w:gridCol w:w="1371"/>
      </w:tblGrid>
      <w:tr w:rsidR="00EB5A5E" w:rsidRPr="00B22542" w14:paraId="195B3FC0" w14:textId="77777777" w:rsidTr="00414010">
        <w:trPr>
          <w:trHeight w:val="715"/>
          <w:jc w:val="right"/>
        </w:trPr>
        <w:tc>
          <w:tcPr>
            <w:tcW w:w="0" w:type="auto"/>
            <w:tcBorders>
              <w:top w:val="single" w:sz="4" w:space="0" w:color="auto"/>
              <w:left w:val="nil"/>
              <w:bottom w:val="single" w:sz="4" w:space="0" w:color="auto"/>
              <w:right w:val="nil"/>
            </w:tcBorders>
            <w:shd w:val="clear" w:color="auto" w:fill="FFFFFF" w:themeFill="background1"/>
            <w:noWrap/>
            <w:vAlign w:val="bottom"/>
            <w:hideMark/>
          </w:tcPr>
          <w:p w14:paraId="5D1683FD"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43D25894" w14:textId="77777777" w:rsidR="00EB5A5E" w:rsidRPr="00B22542" w:rsidRDefault="00EB5A5E" w:rsidP="00453DD2">
            <w:pPr>
              <w:widowControl/>
              <w:autoSpaceDE/>
              <w:autoSpaceDN/>
              <w:adjustRightInd/>
              <w:jc w:val="center"/>
              <w:rPr>
                <w:rFonts w:ascii="Times New Roman" w:hAnsi="Times New Roman" w:cs="Times New Roman"/>
                <w:b/>
                <w:bCs/>
                <w:sz w:val="18"/>
                <w:szCs w:val="18"/>
              </w:rPr>
            </w:pPr>
            <w:r w:rsidRPr="00B22542">
              <w:rPr>
                <w:rFonts w:ascii="Times New Roman" w:hAnsi="Times New Roman" w:cs="Times New Roman"/>
                <w:b/>
                <w:bCs/>
                <w:sz w:val="18"/>
                <w:szCs w:val="18"/>
              </w:rPr>
              <w:t>CORRIENTE 2022</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779CED2B" w14:textId="77777777" w:rsidR="00EB5A5E" w:rsidRPr="00B22542" w:rsidRDefault="00EB5A5E" w:rsidP="00453DD2">
            <w:pPr>
              <w:widowControl/>
              <w:autoSpaceDE/>
              <w:autoSpaceDN/>
              <w:adjustRightInd/>
              <w:jc w:val="center"/>
              <w:rPr>
                <w:rFonts w:ascii="Times New Roman" w:hAnsi="Times New Roman" w:cs="Times New Roman"/>
                <w:b/>
                <w:bCs/>
                <w:sz w:val="18"/>
                <w:szCs w:val="18"/>
              </w:rPr>
            </w:pPr>
            <w:r w:rsidRPr="00B22542">
              <w:rPr>
                <w:rFonts w:ascii="Times New Roman" w:hAnsi="Times New Roman" w:cs="Times New Roman"/>
                <w:b/>
                <w:bCs/>
                <w:sz w:val="18"/>
                <w:szCs w:val="18"/>
              </w:rPr>
              <w:t>NO CORRIENTE 2022</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5A438ECB" w14:textId="77777777" w:rsidR="00EB5A5E" w:rsidRPr="00B22542" w:rsidRDefault="00EB5A5E" w:rsidP="00453DD2">
            <w:pPr>
              <w:widowControl/>
              <w:autoSpaceDE/>
              <w:autoSpaceDN/>
              <w:adjustRightInd/>
              <w:jc w:val="center"/>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CORRIENTE 2021</w:t>
            </w:r>
          </w:p>
        </w:tc>
        <w:tc>
          <w:tcPr>
            <w:tcW w:w="0" w:type="auto"/>
            <w:tcBorders>
              <w:top w:val="single" w:sz="4" w:space="0" w:color="auto"/>
              <w:left w:val="nil"/>
              <w:bottom w:val="single" w:sz="4" w:space="0" w:color="auto"/>
              <w:right w:val="nil"/>
            </w:tcBorders>
            <w:shd w:val="clear" w:color="auto" w:fill="FFFFFF" w:themeFill="background1"/>
            <w:vAlign w:val="bottom"/>
            <w:hideMark/>
          </w:tcPr>
          <w:p w14:paraId="6CC9EB78" w14:textId="77777777" w:rsidR="00EB5A5E" w:rsidRPr="00B22542" w:rsidRDefault="00EB5A5E" w:rsidP="00453DD2">
            <w:pPr>
              <w:widowControl/>
              <w:autoSpaceDE/>
              <w:autoSpaceDN/>
              <w:adjustRightInd/>
              <w:jc w:val="center"/>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NO CORRIENTE 2021</w:t>
            </w:r>
          </w:p>
        </w:tc>
      </w:tr>
      <w:tr w:rsidR="00EB5A5E" w:rsidRPr="00B22542" w14:paraId="1C0A3439" w14:textId="77777777" w:rsidTr="00414010">
        <w:trPr>
          <w:trHeight w:val="286"/>
          <w:jc w:val="right"/>
        </w:trPr>
        <w:tc>
          <w:tcPr>
            <w:tcW w:w="0" w:type="auto"/>
            <w:tcBorders>
              <w:top w:val="single" w:sz="4" w:space="0" w:color="auto"/>
              <w:left w:val="nil"/>
              <w:bottom w:val="nil"/>
              <w:right w:val="nil"/>
            </w:tcBorders>
            <w:shd w:val="clear" w:color="auto" w:fill="auto"/>
            <w:noWrap/>
            <w:vAlign w:val="bottom"/>
            <w:hideMark/>
          </w:tcPr>
          <w:p w14:paraId="5CA9649E"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Activos por impuesto diferido</w:t>
            </w:r>
          </w:p>
        </w:tc>
        <w:tc>
          <w:tcPr>
            <w:tcW w:w="0" w:type="auto"/>
            <w:tcBorders>
              <w:top w:val="single" w:sz="4" w:space="0" w:color="auto"/>
              <w:left w:val="nil"/>
              <w:bottom w:val="nil"/>
              <w:right w:val="nil"/>
            </w:tcBorders>
            <w:shd w:val="clear" w:color="auto" w:fill="auto"/>
            <w:noWrap/>
            <w:vAlign w:val="bottom"/>
            <w:hideMark/>
          </w:tcPr>
          <w:p w14:paraId="6985E041"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4FF91C2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22BA6F72"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single" w:sz="4" w:space="0" w:color="auto"/>
              <w:left w:val="nil"/>
              <w:bottom w:val="nil"/>
              <w:right w:val="nil"/>
            </w:tcBorders>
            <w:shd w:val="clear" w:color="auto" w:fill="auto"/>
            <w:noWrap/>
            <w:vAlign w:val="bottom"/>
            <w:hideMark/>
          </w:tcPr>
          <w:p w14:paraId="65522960"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B93D329"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E823B35"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xml:space="preserve">Activos por </w:t>
            </w:r>
            <w:proofErr w:type="spellStart"/>
            <w:r w:rsidRPr="00B22542">
              <w:rPr>
                <w:rFonts w:ascii="Times New Roman" w:hAnsi="Times New Roman" w:cs="Times New Roman"/>
                <w:color w:val="000000"/>
                <w:sz w:val="18"/>
                <w:szCs w:val="18"/>
              </w:rPr>
              <w:t>dif</w:t>
            </w:r>
            <w:proofErr w:type="spellEnd"/>
            <w:r w:rsidRPr="00B22542">
              <w:rPr>
                <w:rFonts w:ascii="Times New Roman" w:hAnsi="Times New Roman" w:cs="Times New Roman"/>
                <w:color w:val="000000"/>
                <w:sz w:val="18"/>
                <w:szCs w:val="18"/>
              </w:rPr>
              <w:t>. temporarias deducibles</w:t>
            </w:r>
          </w:p>
        </w:tc>
        <w:tc>
          <w:tcPr>
            <w:tcW w:w="0" w:type="auto"/>
            <w:tcBorders>
              <w:top w:val="nil"/>
              <w:left w:val="nil"/>
              <w:bottom w:val="nil"/>
              <w:right w:val="nil"/>
            </w:tcBorders>
            <w:shd w:val="clear" w:color="auto" w:fill="auto"/>
            <w:noWrap/>
            <w:vAlign w:val="bottom"/>
            <w:hideMark/>
          </w:tcPr>
          <w:p w14:paraId="75264B8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92D3E4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7BA4251"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7F8EFD2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673511D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611892B3"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Créditos por pérdidas a compensar del ejercicio.</w:t>
            </w:r>
          </w:p>
        </w:tc>
        <w:tc>
          <w:tcPr>
            <w:tcW w:w="0" w:type="auto"/>
            <w:tcBorders>
              <w:top w:val="nil"/>
              <w:left w:val="nil"/>
              <w:bottom w:val="nil"/>
              <w:right w:val="nil"/>
            </w:tcBorders>
            <w:shd w:val="clear" w:color="auto" w:fill="auto"/>
            <w:noWrap/>
            <w:vAlign w:val="bottom"/>
            <w:hideMark/>
          </w:tcPr>
          <w:p w14:paraId="06C0CFD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DF1694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15FC4C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720C9174"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7BCE2C5"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9F9505F"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Activos por impuesto corriente</w:t>
            </w:r>
          </w:p>
        </w:tc>
        <w:tc>
          <w:tcPr>
            <w:tcW w:w="0" w:type="auto"/>
            <w:tcBorders>
              <w:top w:val="nil"/>
              <w:left w:val="nil"/>
              <w:bottom w:val="nil"/>
              <w:right w:val="nil"/>
            </w:tcBorders>
            <w:shd w:val="clear" w:color="auto" w:fill="auto"/>
            <w:noWrap/>
            <w:vAlign w:val="bottom"/>
            <w:hideMark/>
          </w:tcPr>
          <w:p w14:paraId="6C8D375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00919F2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6D93C08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584E1D0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67776AF" w14:textId="77777777" w:rsidTr="00453DD2">
        <w:trPr>
          <w:trHeight w:val="286"/>
          <w:jc w:val="right"/>
        </w:trPr>
        <w:tc>
          <w:tcPr>
            <w:tcW w:w="0" w:type="auto"/>
            <w:tcBorders>
              <w:top w:val="nil"/>
              <w:left w:val="nil"/>
              <w:bottom w:val="nil"/>
              <w:right w:val="nil"/>
            </w:tcBorders>
            <w:shd w:val="clear" w:color="auto" w:fill="auto"/>
            <w:noWrap/>
            <w:vAlign w:val="bottom"/>
            <w:hideMark/>
          </w:tcPr>
          <w:p w14:paraId="34548D1D"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xml:space="preserve"> Impuestos sobre sociedades</w:t>
            </w:r>
          </w:p>
        </w:tc>
        <w:tc>
          <w:tcPr>
            <w:tcW w:w="0" w:type="auto"/>
            <w:tcBorders>
              <w:top w:val="nil"/>
              <w:left w:val="nil"/>
              <w:bottom w:val="nil"/>
              <w:right w:val="nil"/>
            </w:tcBorders>
            <w:shd w:val="clear" w:color="auto" w:fill="auto"/>
            <w:noWrap/>
            <w:vAlign w:val="bottom"/>
            <w:hideMark/>
          </w:tcPr>
          <w:p w14:paraId="2AB65A71"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0B870C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ECB3FF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466186A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F0FC1B2" w14:textId="77777777" w:rsidTr="00453DD2">
        <w:trPr>
          <w:trHeight w:val="286"/>
          <w:jc w:val="right"/>
        </w:trPr>
        <w:tc>
          <w:tcPr>
            <w:tcW w:w="0" w:type="auto"/>
            <w:tcBorders>
              <w:top w:val="nil"/>
              <w:left w:val="nil"/>
              <w:bottom w:val="nil"/>
              <w:right w:val="nil"/>
            </w:tcBorders>
            <w:shd w:val="clear" w:color="auto" w:fill="auto"/>
            <w:noWrap/>
            <w:vAlign w:val="bottom"/>
            <w:hideMark/>
          </w:tcPr>
          <w:p w14:paraId="5010CC06"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 xml:space="preserve">Otros créditos con las </w:t>
            </w:r>
            <w:proofErr w:type="spellStart"/>
            <w:r w:rsidRPr="00B22542">
              <w:rPr>
                <w:rFonts w:ascii="Times New Roman" w:hAnsi="Times New Roman" w:cs="Times New Roman"/>
                <w:b/>
                <w:bCs/>
                <w:color w:val="000000"/>
                <w:sz w:val="18"/>
                <w:szCs w:val="18"/>
              </w:rPr>
              <w:t>Admin</w:t>
            </w:r>
            <w:proofErr w:type="spellEnd"/>
            <w:r w:rsidRPr="00B22542">
              <w:rPr>
                <w:rFonts w:ascii="Times New Roman" w:hAnsi="Times New Roman" w:cs="Times New Roman"/>
                <w:b/>
                <w:bCs/>
                <w:color w:val="000000"/>
                <w:sz w:val="18"/>
                <w:szCs w:val="18"/>
              </w:rPr>
              <w:t>. Públicas</w:t>
            </w:r>
          </w:p>
        </w:tc>
        <w:tc>
          <w:tcPr>
            <w:tcW w:w="0" w:type="auto"/>
            <w:tcBorders>
              <w:top w:val="nil"/>
              <w:left w:val="nil"/>
              <w:bottom w:val="nil"/>
              <w:right w:val="nil"/>
            </w:tcBorders>
            <w:shd w:val="clear" w:color="auto" w:fill="auto"/>
            <w:noWrap/>
            <w:vAlign w:val="bottom"/>
            <w:hideMark/>
          </w:tcPr>
          <w:p w14:paraId="2F6FE1B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911.089,49</w:t>
            </w:r>
          </w:p>
        </w:tc>
        <w:tc>
          <w:tcPr>
            <w:tcW w:w="0" w:type="auto"/>
            <w:tcBorders>
              <w:top w:val="nil"/>
              <w:left w:val="nil"/>
              <w:bottom w:val="nil"/>
              <w:right w:val="nil"/>
            </w:tcBorders>
            <w:shd w:val="clear" w:color="auto" w:fill="auto"/>
            <w:noWrap/>
            <w:vAlign w:val="bottom"/>
            <w:hideMark/>
          </w:tcPr>
          <w:p w14:paraId="7232F3A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27BA6D7E"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705.464,24</w:t>
            </w:r>
          </w:p>
        </w:tc>
        <w:tc>
          <w:tcPr>
            <w:tcW w:w="0" w:type="auto"/>
            <w:tcBorders>
              <w:top w:val="nil"/>
              <w:left w:val="nil"/>
              <w:bottom w:val="nil"/>
              <w:right w:val="nil"/>
            </w:tcBorders>
            <w:shd w:val="clear" w:color="auto" w:fill="auto"/>
            <w:noWrap/>
            <w:vAlign w:val="bottom"/>
            <w:hideMark/>
          </w:tcPr>
          <w:p w14:paraId="36073F2F"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3A36147" w14:textId="77777777" w:rsidTr="00453DD2">
        <w:trPr>
          <w:trHeight w:val="286"/>
          <w:jc w:val="right"/>
        </w:trPr>
        <w:tc>
          <w:tcPr>
            <w:tcW w:w="0" w:type="auto"/>
            <w:tcBorders>
              <w:top w:val="nil"/>
              <w:left w:val="nil"/>
              <w:bottom w:val="nil"/>
              <w:right w:val="nil"/>
            </w:tcBorders>
            <w:shd w:val="clear" w:color="auto" w:fill="auto"/>
            <w:noWrap/>
            <w:vAlign w:val="bottom"/>
            <w:hideMark/>
          </w:tcPr>
          <w:p w14:paraId="2A86986A"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Impuesto General Indirecto Canario (IGIC) + IVA</w:t>
            </w:r>
          </w:p>
        </w:tc>
        <w:tc>
          <w:tcPr>
            <w:tcW w:w="0" w:type="auto"/>
            <w:tcBorders>
              <w:top w:val="nil"/>
              <w:left w:val="nil"/>
              <w:bottom w:val="nil"/>
              <w:right w:val="nil"/>
            </w:tcBorders>
            <w:shd w:val="clear" w:color="auto" w:fill="auto"/>
            <w:noWrap/>
            <w:vAlign w:val="bottom"/>
            <w:hideMark/>
          </w:tcPr>
          <w:p w14:paraId="0891F0A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911.089,49</w:t>
            </w:r>
          </w:p>
        </w:tc>
        <w:tc>
          <w:tcPr>
            <w:tcW w:w="0" w:type="auto"/>
            <w:tcBorders>
              <w:top w:val="nil"/>
              <w:left w:val="nil"/>
              <w:bottom w:val="nil"/>
              <w:right w:val="nil"/>
            </w:tcBorders>
            <w:shd w:val="clear" w:color="auto" w:fill="auto"/>
            <w:noWrap/>
            <w:vAlign w:val="bottom"/>
            <w:hideMark/>
          </w:tcPr>
          <w:p w14:paraId="61CAF25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41BFD71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652.229,59</w:t>
            </w:r>
          </w:p>
        </w:tc>
        <w:tc>
          <w:tcPr>
            <w:tcW w:w="0" w:type="auto"/>
            <w:tcBorders>
              <w:top w:val="nil"/>
              <w:left w:val="nil"/>
              <w:bottom w:val="nil"/>
              <w:right w:val="nil"/>
            </w:tcBorders>
            <w:shd w:val="clear" w:color="auto" w:fill="auto"/>
            <w:noWrap/>
            <w:vAlign w:val="bottom"/>
            <w:hideMark/>
          </w:tcPr>
          <w:p w14:paraId="77AC2F6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2F417ADB"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DD7B922"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Retenciones practicadas exceso</w:t>
            </w:r>
          </w:p>
        </w:tc>
        <w:tc>
          <w:tcPr>
            <w:tcW w:w="0" w:type="auto"/>
            <w:tcBorders>
              <w:top w:val="nil"/>
              <w:left w:val="nil"/>
              <w:bottom w:val="nil"/>
              <w:right w:val="nil"/>
            </w:tcBorders>
            <w:shd w:val="clear" w:color="auto" w:fill="auto"/>
            <w:noWrap/>
            <w:vAlign w:val="bottom"/>
            <w:hideMark/>
          </w:tcPr>
          <w:p w14:paraId="67E62D1C"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45D6A4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EC22CB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53.234,65</w:t>
            </w:r>
          </w:p>
        </w:tc>
        <w:tc>
          <w:tcPr>
            <w:tcW w:w="0" w:type="auto"/>
            <w:tcBorders>
              <w:top w:val="nil"/>
              <w:left w:val="nil"/>
              <w:bottom w:val="nil"/>
              <w:right w:val="nil"/>
            </w:tcBorders>
            <w:shd w:val="clear" w:color="auto" w:fill="auto"/>
            <w:noWrap/>
            <w:vAlign w:val="bottom"/>
            <w:hideMark/>
          </w:tcPr>
          <w:p w14:paraId="4A3A079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562D63EB"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E12DEF9"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proofErr w:type="gramStart"/>
            <w:r w:rsidRPr="00B22542">
              <w:rPr>
                <w:rFonts w:ascii="Times New Roman" w:hAnsi="Times New Roman" w:cs="Times New Roman"/>
                <w:b/>
                <w:bCs/>
                <w:color w:val="000000"/>
                <w:sz w:val="18"/>
                <w:szCs w:val="18"/>
              </w:rPr>
              <w:t>TOTAL</w:t>
            </w:r>
            <w:proofErr w:type="gramEnd"/>
            <w:r w:rsidRPr="00B22542">
              <w:rPr>
                <w:rFonts w:ascii="Times New Roman" w:hAnsi="Times New Roman" w:cs="Times New Roman"/>
                <w:b/>
                <w:bCs/>
                <w:color w:val="000000"/>
                <w:sz w:val="18"/>
                <w:szCs w:val="18"/>
              </w:rPr>
              <w:t xml:space="preserve"> ACTIVO</w:t>
            </w:r>
          </w:p>
        </w:tc>
        <w:tc>
          <w:tcPr>
            <w:tcW w:w="0" w:type="auto"/>
            <w:tcBorders>
              <w:top w:val="nil"/>
              <w:left w:val="nil"/>
              <w:bottom w:val="nil"/>
              <w:right w:val="nil"/>
            </w:tcBorders>
            <w:shd w:val="clear" w:color="auto" w:fill="auto"/>
            <w:noWrap/>
            <w:vAlign w:val="bottom"/>
            <w:hideMark/>
          </w:tcPr>
          <w:p w14:paraId="3500F83C"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911.089,49</w:t>
            </w:r>
          </w:p>
        </w:tc>
        <w:tc>
          <w:tcPr>
            <w:tcW w:w="0" w:type="auto"/>
            <w:tcBorders>
              <w:top w:val="nil"/>
              <w:left w:val="nil"/>
              <w:bottom w:val="nil"/>
              <w:right w:val="nil"/>
            </w:tcBorders>
            <w:shd w:val="clear" w:color="auto" w:fill="auto"/>
            <w:noWrap/>
            <w:vAlign w:val="bottom"/>
            <w:hideMark/>
          </w:tcPr>
          <w:p w14:paraId="013FE05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0A8EAC46"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705.464,24</w:t>
            </w:r>
          </w:p>
        </w:tc>
        <w:tc>
          <w:tcPr>
            <w:tcW w:w="0" w:type="auto"/>
            <w:tcBorders>
              <w:top w:val="nil"/>
              <w:left w:val="nil"/>
              <w:bottom w:val="nil"/>
              <w:right w:val="nil"/>
            </w:tcBorders>
            <w:shd w:val="clear" w:color="auto" w:fill="auto"/>
            <w:noWrap/>
            <w:vAlign w:val="bottom"/>
            <w:hideMark/>
          </w:tcPr>
          <w:p w14:paraId="1E73A92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4EFAD1C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265F24A6"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Pasivos por impuesto diferido</w:t>
            </w:r>
          </w:p>
        </w:tc>
        <w:tc>
          <w:tcPr>
            <w:tcW w:w="0" w:type="auto"/>
            <w:tcBorders>
              <w:top w:val="nil"/>
              <w:left w:val="nil"/>
              <w:bottom w:val="nil"/>
              <w:right w:val="nil"/>
            </w:tcBorders>
            <w:shd w:val="clear" w:color="auto" w:fill="auto"/>
            <w:noWrap/>
            <w:vAlign w:val="bottom"/>
            <w:hideMark/>
          </w:tcPr>
          <w:p w14:paraId="2B0DB040"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472F46B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7BB8AE8C"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770D296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236540A0" w14:textId="77777777" w:rsidTr="00453DD2">
        <w:trPr>
          <w:trHeight w:val="286"/>
          <w:jc w:val="right"/>
        </w:trPr>
        <w:tc>
          <w:tcPr>
            <w:tcW w:w="0" w:type="auto"/>
            <w:tcBorders>
              <w:top w:val="nil"/>
              <w:left w:val="nil"/>
              <w:bottom w:val="nil"/>
              <w:right w:val="nil"/>
            </w:tcBorders>
            <w:shd w:val="clear" w:color="auto" w:fill="auto"/>
            <w:noWrap/>
            <w:vAlign w:val="bottom"/>
            <w:hideMark/>
          </w:tcPr>
          <w:p w14:paraId="074D918A"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 xml:space="preserve">Pasivos por </w:t>
            </w:r>
            <w:proofErr w:type="spellStart"/>
            <w:r w:rsidRPr="00B22542">
              <w:rPr>
                <w:rFonts w:ascii="Times New Roman" w:hAnsi="Times New Roman" w:cs="Times New Roman"/>
                <w:color w:val="000000"/>
                <w:sz w:val="18"/>
                <w:szCs w:val="18"/>
              </w:rPr>
              <w:t>dif</w:t>
            </w:r>
            <w:proofErr w:type="spellEnd"/>
            <w:r w:rsidRPr="00B22542">
              <w:rPr>
                <w:rFonts w:ascii="Times New Roman" w:hAnsi="Times New Roman" w:cs="Times New Roman"/>
                <w:color w:val="000000"/>
                <w:sz w:val="18"/>
                <w:szCs w:val="18"/>
              </w:rPr>
              <w:t xml:space="preserve">. temporarias imponibles </w:t>
            </w:r>
          </w:p>
        </w:tc>
        <w:tc>
          <w:tcPr>
            <w:tcW w:w="0" w:type="auto"/>
            <w:tcBorders>
              <w:top w:val="nil"/>
              <w:left w:val="nil"/>
              <w:bottom w:val="nil"/>
              <w:right w:val="nil"/>
            </w:tcBorders>
            <w:shd w:val="clear" w:color="auto" w:fill="auto"/>
            <w:noWrap/>
            <w:vAlign w:val="bottom"/>
            <w:hideMark/>
          </w:tcPr>
          <w:p w14:paraId="45D505F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1853B738"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EA89FE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60C5D55"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590C0185" w14:textId="77777777" w:rsidTr="00453DD2">
        <w:trPr>
          <w:trHeight w:val="286"/>
          <w:jc w:val="right"/>
        </w:trPr>
        <w:tc>
          <w:tcPr>
            <w:tcW w:w="0" w:type="auto"/>
            <w:tcBorders>
              <w:top w:val="nil"/>
              <w:left w:val="nil"/>
              <w:bottom w:val="nil"/>
              <w:right w:val="nil"/>
            </w:tcBorders>
            <w:shd w:val="clear" w:color="auto" w:fill="auto"/>
            <w:noWrap/>
            <w:vAlign w:val="bottom"/>
            <w:hideMark/>
          </w:tcPr>
          <w:p w14:paraId="7E6CFD2F"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r w:rsidRPr="00B22542">
              <w:rPr>
                <w:rFonts w:ascii="Times New Roman" w:hAnsi="Times New Roman" w:cs="Times New Roman"/>
                <w:b/>
                <w:bCs/>
                <w:color w:val="000000"/>
                <w:sz w:val="18"/>
                <w:szCs w:val="18"/>
              </w:rPr>
              <w:t xml:space="preserve">Otras deudas con las </w:t>
            </w:r>
            <w:proofErr w:type="spellStart"/>
            <w:r w:rsidRPr="00B22542">
              <w:rPr>
                <w:rFonts w:ascii="Times New Roman" w:hAnsi="Times New Roman" w:cs="Times New Roman"/>
                <w:b/>
                <w:bCs/>
                <w:color w:val="000000"/>
                <w:sz w:val="18"/>
                <w:szCs w:val="18"/>
              </w:rPr>
              <w:t>Admin</w:t>
            </w:r>
            <w:proofErr w:type="spellEnd"/>
            <w:r w:rsidRPr="00B22542">
              <w:rPr>
                <w:rFonts w:ascii="Times New Roman" w:hAnsi="Times New Roman" w:cs="Times New Roman"/>
                <w:b/>
                <w:bCs/>
                <w:color w:val="000000"/>
                <w:sz w:val="18"/>
                <w:szCs w:val="18"/>
              </w:rPr>
              <w:t>.  Públicas</w:t>
            </w:r>
          </w:p>
        </w:tc>
        <w:tc>
          <w:tcPr>
            <w:tcW w:w="0" w:type="auto"/>
            <w:tcBorders>
              <w:top w:val="nil"/>
              <w:left w:val="nil"/>
              <w:bottom w:val="nil"/>
              <w:right w:val="nil"/>
            </w:tcBorders>
            <w:shd w:val="clear" w:color="auto" w:fill="auto"/>
            <w:noWrap/>
            <w:vAlign w:val="bottom"/>
            <w:hideMark/>
          </w:tcPr>
          <w:p w14:paraId="3639E3B8"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-201.050,08</w:t>
            </w:r>
          </w:p>
        </w:tc>
        <w:tc>
          <w:tcPr>
            <w:tcW w:w="0" w:type="auto"/>
            <w:tcBorders>
              <w:top w:val="nil"/>
              <w:left w:val="nil"/>
              <w:bottom w:val="nil"/>
              <w:right w:val="nil"/>
            </w:tcBorders>
            <w:shd w:val="clear" w:color="auto" w:fill="auto"/>
            <w:noWrap/>
            <w:vAlign w:val="bottom"/>
            <w:hideMark/>
          </w:tcPr>
          <w:p w14:paraId="65E1D632"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nil"/>
              <w:right w:val="nil"/>
            </w:tcBorders>
            <w:shd w:val="clear" w:color="auto" w:fill="auto"/>
            <w:noWrap/>
            <w:vAlign w:val="bottom"/>
            <w:hideMark/>
          </w:tcPr>
          <w:p w14:paraId="23E31987"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-208.537,53</w:t>
            </w:r>
          </w:p>
        </w:tc>
        <w:tc>
          <w:tcPr>
            <w:tcW w:w="0" w:type="auto"/>
            <w:tcBorders>
              <w:top w:val="nil"/>
              <w:left w:val="nil"/>
              <w:bottom w:val="nil"/>
              <w:right w:val="nil"/>
            </w:tcBorders>
            <w:shd w:val="clear" w:color="auto" w:fill="auto"/>
            <w:noWrap/>
            <w:vAlign w:val="bottom"/>
            <w:hideMark/>
          </w:tcPr>
          <w:p w14:paraId="5A570FF5"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r w:rsidR="00EB5A5E" w:rsidRPr="00B22542" w14:paraId="58D3A38D" w14:textId="77777777" w:rsidTr="00453DD2">
        <w:trPr>
          <w:trHeight w:val="286"/>
          <w:jc w:val="right"/>
        </w:trPr>
        <w:tc>
          <w:tcPr>
            <w:tcW w:w="0" w:type="auto"/>
            <w:tcBorders>
              <w:top w:val="nil"/>
              <w:left w:val="nil"/>
              <w:bottom w:val="nil"/>
              <w:right w:val="nil"/>
            </w:tcBorders>
            <w:shd w:val="clear" w:color="auto" w:fill="auto"/>
            <w:noWrap/>
            <w:vAlign w:val="bottom"/>
            <w:hideMark/>
          </w:tcPr>
          <w:p w14:paraId="3CA32B26" w14:textId="77777777" w:rsidR="00EB5A5E" w:rsidRPr="00B22542" w:rsidRDefault="00EB5A5E" w:rsidP="00453DD2">
            <w:pPr>
              <w:widowControl/>
              <w:autoSpaceDE/>
              <w:autoSpaceDN/>
              <w:adjustRightInd/>
              <w:rPr>
                <w:rFonts w:ascii="Times New Roman" w:hAnsi="Times New Roman" w:cs="Times New Roman"/>
                <w:sz w:val="18"/>
                <w:szCs w:val="18"/>
              </w:rPr>
            </w:pPr>
            <w:r w:rsidRPr="00B22542">
              <w:rPr>
                <w:rFonts w:ascii="Times New Roman" w:hAnsi="Times New Roman" w:cs="Times New Roman"/>
                <w:sz w:val="18"/>
                <w:szCs w:val="18"/>
              </w:rPr>
              <w:t xml:space="preserve">Retenciones practicadas </w:t>
            </w:r>
          </w:p>
        </w:tc>
        <w:tc>
          <w:tcPr>
            <w:tcW w:w="0" w:type="auto"/>
            <w:tcBorders>
              <w:top w:val="nil"/>
              <w:left w:val="nil"/>
              <w:bottom w:val="nil"/>
              <w:right w:val="nil"/>
            </w:tcBorders>
            <w:shd w:val="clear" w:color="auto" w:fill="auto"/>
            <w:noWrap/>
            <w:vAlign w:val="bottom"/>
            <w:hideMark/>
          </w:tcPr>
          <w:p w14:paraId="5ABB36DB"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-146.818,78</w:t>
            </w:r>
          </w:p>
        </w:tc>
        <w:tc>
          <w:tcPr>
            <w:tcW w:w="0" w:type="auto"/>
            <w:tcBorders>
              <w:top w:val="nil"/>
              <w:left w:val="nil"/>
              <w:bottom w:val="nil"/>
              <w:right w:val="nil"/>
            </w:tcBorders>
            <w:shd w:val="clear" w:color="auto" w:fill="auto"/>
            <w:noWrap/>
            <w:vAlign w:val="bottom"/>
            <w:hideMark/>
          </w:tcPr>
          <w:p w14:paraId="5B345888"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0235459B"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-148.826,87</w:t>
            </w:r>
          </w:p>
        </w:tc>
        <w:tc>
          <w:tcPr>
            <w:tcW w:w="0" w:type="auto"/>
            <w:tcBorders>
              <w:top w:val="nil"/>
              <w:left w:val="nil"/>
              <w:bottom w:val="nil"/>
              <w:right w:val="nil"/>
            </w:tcBorders>
            <w:shd w:val="clear" w:color="auto" w:fill="auto"/>
            <w:noWrap/>
            <w:vAlign w:val="bottom"/>
            <w:hideMark/>
          </w:tcPr>
          <w:p w14:paraId="50BC09DF"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4A2E4FCA" w14:textId="77777777" w:rsidTr="00453DD2">
        <w:trPr>
          <w:trHeight w:val="286"/>
          <w:jc w:val="right"/>
        </w:trPr>
        <w:tc>
          <w:tcPr>
            <w:tcW w:w="0" w:type="auto"/>
            <w:tcBorders>
              <w:top w:val="nil"/>
              <w:left w:val="nil"/>
              <w:bottom w:val="nil"/>
              <w:right w:val="nil"/>
            </w:tcBorders>
            <w:shd w:val="clear" w:color="auto" w:fill="auto"/>
            <w:noWrap/>
            <w:vAlign w:val="bottom"/>
            <w:hideMark/>
          </w:tcPr>
          <w:p w14:paraId="4A364C83" w14:textId="77777777" w:rsidR="00EB5A5E" w:rsidRPr="00B22542" w:rsidRDefault="00EB5A5E" w:rsidP="00453DD2">
            <w:pPr>
              <w:widowControl/>
              <w:autoSpaceDE/>
              <w:autoSpaceDN/>
              <w:adjustRightInd/>
              <w:rPr>
                <w:rFonts w:ascii="Times New Roman" w:hAnsi="Times New Roman" w:cs="Times New Roman"/>
                <w:sz w:val="18"/>
                <w:szCs w:val="18"/>
              </w:rPr>
            </w:pPr>
            <w:r w:rsidRPr="00B22542">
              <w:rPr>
                <w:rFonts w:ascii="Times New Roman" w:hAnsi="Times New Roman" w:cs="Times New Roman"/>
                <w:sz w:val="18"/>
                <w:szCs w:val="18"/>
              </w:rPr>
              <w:t>Organismos de la Seguridad Social</w:t>
            </w:r>
          </w:p>
        </w:tc>
        <w:tc>
          <w:tcPr>
            <w:tcW w:w="0" w:type="auto"/>
            <w:tcBorders>
              <w:top w:val="nil"/>
              <w:left w:val="nil"/>
              <w:bottom w:val="nil"/>
              <w:right w:val="nil"/>
            </w:tcBorders>
            <w:shd w:val="clear" w:color="auto" w:fill="auto"/>
            <w:noWrap/>
            <w:vAlign w:val="bottom"/>
            <w:hideMark/>
          </w:tcPr>
          <w:p w14:paraId="202213D6"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-54.231,30</w:t>
            </w:r>
          </w:p>
        </w:tc>
        <w:tc>
          <w:tcPr>
            <w:tcW w:w="0" w:type="auto"/>
            <w:tcBorders>
              <w:top w:val="nil"/>
              <w:left w:val="nil"/>
              <w:bottom w:val="nil"/>
              <w:right w:val="nil"/>
            </w:tcBorders>
            <w:shd w:val="clear" w:color="auto" w:fill="auto"/>
            <w:noWrap/>
            <w:vAlign w:val="bottom"/>
            <w:hideMark/>
          </w:tcPr>
          <w:p w14:paraId="565FAED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2FC34D7E"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-59.710,66</w:t>
            </w:r>
          </w:p>
        </w:tc>
        <w:tc>
          <w:tcPr>
            <w:tcW w:w="0" w:type="auto"/>
            <w:tcBorders>
              <w:top w:val="nil"/>
              <w:left w:val="nil"/>
              <w:bottom w:val="nil"/>
              <w:right w:val="nil"/>
            </w:tcBorders>
            <w:shd w:val="clear" w:color="auto" w:fill="auto"/>
            <w:noWrap/>
            <w:vAlign w:val="bottom"/>
            <w:hideMark/>
          </w:tcPr>
          <w:p w14:paraId="72809703"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678A83F8" w14:textId="77777777" w:rsidTr="00453DD2">
        <w:trPr>
          <w:trHeight w:val="286"/>
          <w:jc w:val="right"/>
        </w:trPr>
        <w:tc>
          <w:tcPr>
            <w:tcW w:w="0" w:type="auto"/>
            <w:tcBorders>
              <w:top w:val="nil"/>
              <w:left w:val="nil"/>
              <w:bottom w:val="nil"/>
              <w:right w:val="nil"/>
            </w:tcBorders>
            <w:shd w:val="clear" w:color="auto" w:fill="auto"/>
            <w:noWrap/>
            <w:vAlign w:val="bottom"/>
            <w:hideMark/>
          </w:tcPr>
          <w:p w14:paraId="6DB7E267" w14:textId="77777777" w:rsidR="00EB5A5E" w:rsidRPr="00B22542" w:rsidRDefault="00EB5A5E" w:rsidP="00453DD2">
            <w:pPr>
              <w:widowControl/>
              <w:autoSpaceDE/>
              <w:autoSpaceDN/>
              <w:adjustRightInd/>
              <w:rPr>
                <w:rFonts w:ascii="Times New Roman" w:hAnsi="Times New Roman" w:cs="Times New Roman"/>
                <w:color w:val="000000"/>
                <w:sz w:val="18"/>
                <w:szCs w:val="18"/>
              </w:rPr>
            </w:pPr>
            <w:r w:rsidRPr="00B22542">
              <w:rPr>
                <w:rFonts w:ascii="Times New Roman" w:hAnsi="Times New Roman" w:cs="Times New Roman"/>
                <w:color w:val="000000"/>
                <w:sz w:val="18"/>
                <w:szCs w:val="18"/>
              </w:rPr>
              <w:t>Impuesto General Indirecto Canario (IGIC)</w:t>
            </w:r>
          </w:p>
        </w:tc>
        <w:tc>
          <w:tcPr>
            <w:tcW w:w="0" w:type="auto"/>
            <w:tcBorders>
              <w:top w:val="nil"/>
              <w:left w:val="nil"/>
              <w:bottom w:val="nil"/>
              <w:right w:val="nil"/>
            </w:tcBorders>
            <w:shd w:val="clear" w:color="auto" w:fill="auto"/>
            <w:noWrap/>
            <w:vAlign w:val="bottom"/>
            <w:hideMark/>
          </w:tcPr>
          <w:p w14:paraId="42758A72"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324D0929"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0654A40"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bottom"/>
            <w:hideMark/>
          </w:tcPr>
          <w:p w14:paraId="58DE69B7" w14:textId="77777777" w:rsidR="00EB5A5E" w:rsidRPr="00B22542" w:rsidRDefault="00EB5A5E" w:rsidP="00453DD2">
            <w:pPr>
              <w:widowControl/>
              <w:autoSpaceDE/>
              <w:autoSpaceDN/>
              <w:adjustRightInd/>
              <w:jc w:val="right"/>
              <w:rPr>
                <w:rFonts w:ascii="Times New Roman" w:hAnsi="Times New Roman" w:cs="Times New Roman"/>
                <w:sz w:val="18"/>
                <w:szCs w:val="18"/>
              </w:rPr>
            </w:pPr>
            <w:r w:rsidRPr="00B22542">
              <w:rPr>
                <w:rFonts w:ascii="Times New Roman" w:hAnsi="Times New Roman" w:cs="Times New Roman"/>
                <w:sz w:val="18"/>
                <w:szCs w:val="18"/>
              </w:rPr>
              <w:t>0,00</w:t>
            </w:r>
          </w:p>
        </w:tc>
      </w:tr>
      <w:tr w:rsidR="00EB5A5E" w:rsidRPr="00B22542" w14:paraId="06CF1613" w14:textId="77777777" w:rsidTr="00453DD2">
        <w:trPr>
          <w:trHeight w:val="300"/>
          <w:jc w:val="right"/>
        </w:trPr>
        <w:tc>
          <w:tcPr>
            <w:tcW w:w="0" w:type="auto"/>
            <w:tcBorders>
              <w:top w:val="nil"/>
              <w:left w:val="nil"/>
              <w:bottom w:val="single" w:sz="8" w:space="0" w:color="auto"/>
              <w:right w:val="nil"/>
            </w:tcBorders>
            <w:shd w:val="clear" w:color="auto" w:fill="auto"/>
            <w:noWrap/>
            <w:vAlign w:val="bottom"/>
            <w:hideMark/>
          </w:tcPr>
          <w:p w14:paraId="47F5AFEA" w14:textId="77777777" w:rsidR="00EB5A5E" w:rsidRPr="00B22542" w:rsidRDefault="00EB5A5E" w:rsidP="00453DD2">
            <w:pPr>
              <w:widowControl/>
              <w:autoSpaceDE/>
              <w:autoSpaceDN/>
              <w:adjustRightInd/>
              <w:rPr>
                <w:rFonts w:ascii="Times New Roman" w:hAnsi="Times New Roman" w:cs="Times New Roman"/>
                <w:b/>
                <w:bCs/>
                <w:color w:val="000000"/>
                <w:sz w:val="18"/>
                <w:szCs w:val="18"/>
              </w:rPr>
            </w:pPr>
            <w:proofErr w:type="gramStart"/>
            <w:r w:rsidRPr="00B22542">
              <w:rPr>
                <w:rFonts w:ascii="Times New Roman" w:hAnsi="Times New Roman" w:cs="Times New Roman"/>
                <w:b/>
                <w:bCs/>
                <w:color w:val="000000"/>
                <w:sz w:val="18"/>
                <w:szCs w:val="18"/>
              </w:rPr>
              <w:t>TOTAL</w:t>
            </w:r>
            <w:proofErr w:type="gramEnd"/>
            <w:r w:rsidRPr="00B22542">
              <w:rPr>
                <w:rFonts w:ascii="Times New Roman" w:hAnsi="Times New Roman" w:cs="Times New Roman"/>
                <w:b/>
                <w:bCs/>
                <w:color w:val="000000"/>
                <w:sz w:val="18"/>
                <w:szCs w:val="18"/>
              </w:rPr>
              <w:t xml:space="preserve"> PASIVO</w:t>
            </w:r>
          </w:p>
        </w:tc>
        <w:tc>
          <w:tcPr>
            <w:tcW w:w="0" w:type="auto"/>
            <w:tcBorders>
              <w:top w:val="nil"/>
              <w:left w:val="nil"/>
              <w:bottom w:val="single" w:sz="8" w:space="0" w:color="auto"/>
              <w:right w:val="nil"/>
            </w:tcBorders>
            <w:shd w:val="clear" w:color="auto" w:fill="auto"/>
            <w:noWrap/>
            <w:vAlign w:val="bottom"/>
            <w:hideMark/>
          </w:tcPr>
          <w:p w14:paraId="376A7049"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-201.050,08</w:t>
            </w:r>
          </w:p>
        </w:tc>
        <w:tc>
          <w:tcPr>
            <w:tcW w:w="0" w:type="auto"/>
            <w:tcBorders>
              <w:top w:val="nil"/>
              <w:left w:val="nil"/>
              <w:bottom w:val="single" w:sz="8" w:space="0" w:color="auto"/>
              <w:right w:val="nil"/>
            </w:tcBorders>
            <w:shd w:val="clear" w:color="auto" w:fill="auto"/>
            <w:noWrap/>
            <w:vAlign w:val="bottom"/>
            <w:hideMark/>
          </w:tcPr>
          <w:p w14:paraId="096276EA"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c>
          <w:tcPr>
            <w:tcW w:w="0" w:type="auto"/>
            <w:tcBorders>
              <w:top w:val="nil"/>
              <w:left w:val="nil"/>
              <w:bottom w:val="single" w:sz="8" w:space="0" w:color="auto"/>
              <w:right w:val="nil"/>
            </w:tcBorders>
            <w:shd w:val="clear" w:color="auto" w:fill="auto"/>
            <w:noWrap/>
            <w:vAlign w:val="bottom"/>
            <w:hideMark/>
          </w:tcPr>
          <w:p w14:paraId="2178B30B"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-208.537,53</w:t>
            </w:r>
          </w:p>
        </w:tc>
        <w:tc>
          <w:tcPr>
            <w:tcW w:w="0" w:type="auto"/>
            <w:tcBorders>
              <w:top w:val="nil"/>
              <w:left w:val="nil"/>
              <w:bottom w:val="single" w:sz="8" w:space="0" w:color="auto"/>
              <w:right w:val="nil"/>
            </w:tcBorders>
            <w:shd w:val="clear" w:color="auto" w:fill="auto"/>
            <w:noWrap/>
            <w:vAlign w:val="bottom"/>
            <w:hideMark/>
          </w:tcPr>
          <w:p w14:paraId="2E798424" w14:textId="77777777" w:rsidR="00EB5A5E" w:rsidRPr="00B22542" w:rsidRDefault="00EB5A5E" w:rsidP="00453DD2">
            <w:pPr>
              <w:widowControl/>
              <w:autoSpaceDE/>
              <w:autoSpaceDN/>
              <w:adjustRightInd/>
              <w:jc w:val="right"/>
              <w:rPr>
                <w:rFonts w:ascii="Times New Roman" w:hAnsi="Times New Roman" w:cs="Times New Roman"/>
                <w:b/>
                <w:bCs/>
                <w:sz w:val="18"/>
                <w:szCs w:val="18"/>
              </w:rPr>
            </w:pPr>
            <w:r w:rsidRPr="00B22542">
              <w:rPr>
                <w:rFonts w:ascii="Times New Roman" w:hAnsi="Times New Roman" w:cs="Times New Roman"/>
                <w:b/>
                <w:bCs/>
                <w:sz w:val="18"/>
                <w:szCs w:val="18"/>
              </w:rPr>
              <w:t>0,00</w:t>
            </w:r>
          </w:p>
        </w:tc>
      </w:tr>
    </w:tbl>
    <w:p w14:paraId="212B7BB5" w14:textId="1C359FE7" w:rsidR="00EB5A5E" w:rsidRDefault="00EB5A5E" w:rsidP="005C4F3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F7AD03C" w14:textId="77777777" w:rsidR="0085445B" w:rsidRPr="00C8275B" w:rsidRDefault="0085445B" w:rsidP="005C4F30">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1FC6A9F5" w14:textId="77777777" w:rsidR="0085445B" w:rsidRPr="00C8275B" w:rsidRDefault="0085445B" w:rsidP="005C4F30">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2372E3DD" w14:textId="77777777" w:rsidR="005C4F30" w:rsidRPr="00C8275B" w:rsidRDefault="005C4F30" w:rsidP="005C4F30">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Activos y Pasivos por impuestos diferidos</w:t>
      </w:r>
    </w:p>
    <w:p w14:paraId="099C502F" w14:textId="77777777" w:rsidR="005C4F30" w:rsidRPr="00C8275B" w:rsidRDefault="005C4F30" w:rsidP="005C4F30">
      <w:pPr>
        <w:shd w:val="clear" w:color="auto" w:fill="FFFFFF"/>
        <w:ind w:firstLine="709"/>
        <w:jc w:val="both"/>
        <w:rPr>
          <w:rFonts w:ascii="Times New Roman" w:hAnsi="Times New Roman" w:cs="Times New Roman"/>
          <w:b/>
          <w:sz w:val="22"/>
          <w:szCs w:val="22"/>
          <w:u w:val="single"/>
        </w:rPr>
      </w:pPr>
    </w:p>
    <w:p w14:paraId="4CBCC5B5" w14:textId="77777777" w:rsidR="0085082D" w:rsidRPr="00C8275B" w:rsidRDefault="005C4F30" w:rsidP="009B4B09">
      <w:pPr>
        <w:shd w:val="clear" w:color="auto" w:fill="FFFFFF"/>
        <w:ind w:firstLine="709"/>
        <w:jc w:val="both"/>
        <w:rPr>
          <w:rFonts w:ascii="Times New Roman" w:hAnsi="Times New Roman" w:cs="Times New Roman"/>
          <w:sz w:val="22"/>
          <w:szCs w:val="22"/>
        </w:rPr>
      </w:pPr>
      <w:r w:rsidRPr="00C8275B">
        <w:rPr>
          <w:rFonts w:ascii="Times New Roman" w:hAnsi="Times New Roman" w:cs="Times New Roman"/>
          <w:sz w:val="22"/>
          <w:szCs w:val="22"/>
        </w:rPr>
        <w:t>No existen saldos por activos ni pasivos por impuestos diferidos</w:t>
      </w:r>
    </w:p>
    <w:p w14:paraId="00F99829" w14:textId="77777777" w:rsidR="00071DEA" w:rsidRPr="00C8275B" w:rsidRDefault="00071DEA" w:rsidP="000B5AF8">
      <w:pPr>
        <w:shd w:val="clear" w:color="auto" w:fill="FFFFFF"/>
        <w:ind w:firstLine="709"/>
        <w:jc w:val="both"/>
        <w:rPr>
          <w:rFonts w:ascii="Times New Roman" w:hAnsi="Times New Roman" w:cs="Times New Roman"/>
          <w:b/>
          <w:color w:val="0000FF"/>
          <w:sz w:val="22"/>
          <w:szCs w:val="22"/>
          <w:u w:val="single"/>
        </w:rPr>
      </w:pPr>
    </w:p>
    <w:p w14:paraId="56315CB8" w14:textId="77777777" w:rsidR="00486703" w:rsidRDefault="00486703" w:rsidP="000B5AF8">
      <w:pPr>
        <w:shd w:val="clear" w:color="auto" w:fill="FFFFFF"/>
        <w:ind w:firstLine="709"/>
        <w:jc w:val="both"/>
        <w:rPr>
          <w:rFonts w:ascii="Times New Roman" w:hAnsi="Times New Roman" w:cs="Times New Roman"/>
          <w:b/>
          <w:sz w:val="22"/>
          <w:szCs w:val="22"/>
          <w:u w:val="single"/>
        </w:rPr>
      </w:pPr>
    </w:p>
    <w:p w14:paraId="024F037D" w14:textId="1540134E"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Conciliación del resultado contable</w:t>
      </w:r>
    </w:p>
    <w:p w14:paraId="2C45746E" w14:textId="77777777" w:rsidR="000B5AF8" w:rsidRPr="00C8275B" w:rsidRDefault="000B5AF8" w:rsidP="000B5AF8">
      <w:pPr>
        <w:shd w:val="clear" w:color="auto" w:fill="FFFFFF"/>
        <w:ind w:firstLine="709"/>
        <w:jc w:val="both"/>
        <w:rPr>
          <w:rFonts w:ascii="Times New Roman" w:hAnsi="Times New Roman" w:cs="Times New Roman"/>
          <w:b/>
          <w:sz w:val="22"/>
          <w:szCs w:val="22"/>
          <w:u w:val="single"/>
        </w:rPr>
      </w:pPr>
    </w:p>
    <w:p w14:paraId="7F9070C4" w14:textId="77777777" w:rsidR="000B5AF8" w:rsidRPr="004F53A1"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w:t>
      </w:r>
      <w:r w:rsidRPr="004F53A1">
        <w:rPr>
          <w:rFonts w:ascii="Times New Roman" w:hAnsi="Times New Roman" w:cs="Times New Roman"/>
          <w:spacing w:val="-3"/>
          <w:sz w:val="22"/>
          <w:szCs w:val="22"/>
          <w:lang w:val="es-ES_tradnl" w:eastAsia="es-ES_tradnl"/>
        </w:rPr>
        <w:t>conciliación entre el Resultado Contable y la Base Imponible del Impuesto sobre Sociedades (Resultado Fiscal) es la siguiente:</w:t>
      </w:r>
    </w:p>
    <w:p w14:paraId="634307B9" w14:textId="77777777" w:rsidR="00071DEA" w:rsidRPr="004F53A1" w:rsidRDefault="00071DEA" w:rsidP="000B5AF8">
      <w:pPr>
        <w:shd w:val="clear" w:color="auto" w:fill="FFFFFF"/>
        <w:ind w:firstLine="709"/>
        <w:jc w:val="both"/>
        <w:rPr>
          <w:rFonts w:ascii="Times New Roman" w:hAnsi="Times New Roman" w:cs="Times New Roman"/>
          <w:b/>
          <w:sz w:val="22"/>
          <w:szCs w:val="22"/>
          <w:u w:val="single"/>
        </w:rPr>
      </w:pPr>
    </w:p>
    <w:p w14:paraId="1D8C37D3" w14:textId="77777777" w:rsidR="000B5AF8" w:rsidRPr="004F53A1" w:rsidRDefault="000B5AF8" w:rsidP="000B5AF8">
      <w:pPr>
        <w:shd w:val="clear" w:color="auto" w:fill="FFFFFF"/>
        <w:ind w:firstLine="709"/>
        <w:jc w:val="both"/>
        <w:rPr>
          <w:rFonts w:ascii="Times New Roman" w:hAnsi="Times New Roman" w:cs="Times New Roman"/>
          <w:b/>
          <w:sz w:val="22"/>
          <w:szCs w:val="22"/>
          <w:u w:val="single"/>
        </w:rPr>
      </w:pPr>
      <w:r w:rsidRPr="004F53A1">
        <w:rPr>
          <w:rFonts w:ascii="Times New Roman" w:hAnsi="Times New Roman" w:cs="Times New Roman"/>
          <w:b/>
          <w:sz w:val="22"/>
          <w:szCs w:val="22"/>
          <w:u w:val="single"/>
        </w:rPr>
        <w:t xml:space="preserve">Ejercicio </w:t>
      </w:r>
      <w:r w:rsidR="00924C6D" w:rsidRPr="004F53A1">
        <w:rPr>
          <w:rFonts w:ascii="Times New Roman" w:hAnsi="Times New Roman" w:cs="Times New Roman"/>
          <w:b/>
          <w:sz w:val="22"/>
          <w:szCs w:val="22"/>
          <w:u w:val="single"/>
        </w:rPr>
        <w:t>2022</w:t>
      </w:r>
    </w:p>
    <w:p w14:paraId="6E50DDCB" w14:textId="2F599C87" w:rsidR="00EB5A5E" w:rsidRDefault="00EB5A5E" w:rsidP="000B5AF8">
      <w:pPr>
        <w:pStyle w:val="Default"/>
        <w:ind w:right="-284"/>
        <w:rPr>
          <w:rFonts w:ascii="Times New Roman" w:hAnsi="Times New Roman" w:cs="Times New Roman"/>
          <w:b/>
          <w:color w:val="0000FF"/>
          <w:sz w:val="20"/>
          <w:szCs w:val="20"/>
          <w:u w:val="single"/>
        </w:rPr>
      </w:pPr>
    </w:p>
    <w:tbl>
      <w:tblPr>
        <w:tblW w:w="4317" w:type="pct"/>
        <w:jc w:val="right"/>
        <w:tblCellMar>
          <w:left w:w="70" w:type="dxa"/>
          <w:right w:w="70" w:type="dxa"/>
        </w:tblCellMar>
        <w:tblLook w:val="04A0" w:firstRow="1" w:lastRow="0" w:firstColumn="1" w:lastColumn="0" w:noHBand="0" w:noVBand="1"/>
      </w:tblPr>
      <w:tblGrid>
        <w:gridCol w:w="2785"/>
        <w:gridCol w:w="827"/>
        <w:gridCol w:w="1085"/>
        <w:gridCol w:w="1281"/>
        <w:gridCol w:w="921"/>
        <w:gridCol w:w="691"/>
        <w:gridCol w:w="977"/>
      </w:tblGrid>
      <w:tr w:rsidR="004F53A1" w:rsidRPr="00C8275B" w14:paraId="53F1E660" w14:textId="77777777" w:rsidTr="00414010">
        <w:trPr>
          <w:trHeight w:val="328"/>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592BD8CE"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865" w:type="pct"/>
            <w:gridSpan w:val="3"/>
            <w:tcBorders>
              <w:top w:val="single" w:sz="4" w:space="0" w:color="auto"/>
              <w:left w:val="nil"/>
              <w:bottom w:val="single" w:sz="4" w:space="0" w:color="auto"/>
              <w:right w:val="nil"/>
            </w:tcBorders>
            <w:shd w:val="clear" w:color="auto" w:fill="FFFFFF" w:themeFill="background1"/>
            <w:vAlign w:val="center"/>
            <w:hideMark/>
          </w:tcPr>
          <w:p w14:paraId="02294369" w14:textId="77777777" w:rsidR="004F53A1" w:rsidRPr="00C8275B" w:rsidRDefault="004F53A1" w:rsidP="00453DD2">
            <w:pPr>
              <w:jc w:val="center"/>
              <w:rPr>
                <w:rFonts w:ascii="Times New Roman" w:hAnsi="Times New Roman" w:cs="Times New Roman"/>
                <w:b/>
                <w:bCs/>
                <w:sz w:val="16"/>
                <w:szCs w:val="16"/>
              </w:rPr>
            </w:pPr>
            <w:r w:rsidRPr="00C8275B">
              <w:rPr>
                <w:rFonts w:ascii="Times New Roman" w:hAnsi="Times New Roman" w:cs="Times New Roman"/>
                <w:b/>
                <w:bCs/>
                <w:sz w:val="16"/>
                <w:szCs w:val="16"/>
              </w:rPr>
              <w:t>Cuenta de Pérdidas y Ganancias</w:t>
            </w:r>
          </w:p>
        </w:tc>
        <w:tc>
          <w:tcPr>
            <w:tcW w:w="1508" w:type="pct"/>
            <w:gridSpan w:val="3"/>
            <w:tcBorders>
              <w:top w:val="single" w:sz="4" w:space="0" w:color="auto"/>
              <w:left w:val="nil"/>
              <w:bottom w:val="single" w:sz="4" w:space="0" w:color="auto"/>
              <w:right w:val="nil"/>
            </w:tcBorders>
            <w:shd w:val="clear" w:color="auto" w:fill="FFFFFF" w:themeFill="background1"/>
            <w:vAlign w:val="center"/>
            <w:hideMark/>
          </w:tcPr>
          <w:p w14:paraId="040BCE31" w14:textId="77777777" w:rsidR="004F53A1" w:rsidRPr="00C8275B" w:rsidRDefault="004F53A1" w:rsidP="00453DD2">
            <w:pPr>
              <w:jc w:val="center"/>
              <w:rPr>
                <w:rFonts w:ascii="Times New Roman" w:hAnsi="Times New Roman" w:cs="Times New Roman"/>
                <w:b/>
                <w:bCs/>
                <w:sz w:val="16"/>
                <w:szCs w:val="16"/>
              </w:rPr>
            </w:pPr>
            <w:r w:rsidRPr="00C8275B">
              <w:rPr>
                <w:rFonts w:ascii="Times New Roman" w:hAnsi="Times New Roman" w:cs="Times New Roman"/>
                <w:b/>
                <w:bCs/>
                <w:sz w:val="16"/>
                <w:szCs w:val="16"/>
              </w:rPr>
              <w:t>Ingresos y Gastos directamente imputados al patrimonio neto</w:t>
            </w:r>
          </w:p>
        </w:tc>
      </w:tr>
      <w:tr w:rsidR="004F53A1" w:rsidRPr="00C8275B" w14:paraId="2C4A5346" w14:textId="77777777" w:rsidTr="00414010">
        <w:trPr>
          <w:trHeight w:hRule="exact" w:val="296"/>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021FC0AB"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Saldo de ingresos y gastos del ejercicio</w:t>
            </w:r>
          </w:p>
        </w:tc>
        <w:tc>
          <w:tcPr>
            <w:tcW w:w="1865" w:type="pct"/>
            <w:gridSpan w:val="3"/>
            <w:tcBorders>
              <w:top w:val="single" w:sz="4" w:space="0" w:color="auto"/>
              <w:left w:val="nil"/>
              <w:bottom w:val="single" w:sz="4" w:space="0" w:color="auto"/>
              <w:right w:val="nil"/>
            </w:tcBorders>
            <w:shd w:val="clear" w:color="auto" w:fill="FFFFFF" w:themeFill="background1"/>
            <w:vAlign w:val="center"/>
            <w:hideMark/>
          </w:tcPr>
          <w:p w14:paraId="172F1579" w14:textId="7B14DBD9" w:rsidR="004F53A1" w:rsidRPr="00C8275B" w:rsidRDefault="004F53A1" w:rsidP="00453DD2">
            <w:pPr>
              <w:jc w:val="center"/>
              <w:rPr>
                <w:rFonts w:ascii="Times New Roman" w:hAnsi="Times New Roman" w:cs="Times New Roman"/>
                <w:sz w:val="18"/>
                <w:szCs w:val="18"/>
              </w:rPr>
            </w:pPr>
            <w:r w:rsidRPr="00EB5A5E">
              <w:rPr>
                <w:rFonts w:ascii="Garamond" w:hAnsi="Garamond" w:cs="Calibri"/>
              </w:rPr>
              <w:t>-1.612.098,92</w:t>
            </w:r>
          </w:p>
        </w:tc>
        <w:tc>
          <w:tcPr>
            <w:tcW w:w="1508" w:type="pct"/>
            <w:gridSpan w:val="3"/>
            <w:tcBorders>
              <w:top w:val="single" w:sz="4" w:space="0" w:color="auto"/>
              <w:left w:val="nil"/>
              <w:bottom w:val="single" w:sz="4" w:space="0" w:color="auto"/>
              <w:right w:val="nil"/>
            </w:tcBorders>
            <w:shd w:val="clear" w:color="auto" w:fill="FFFFFF" w:themeFill="background1"/>
            <w:vAlign w:val="center"/>
            <w:hideMark/>
          </w:tcPr>
          <w:p w14:paraId="04578307" w14:textId="77777777" w:rsidR="004F53A1" w:rsidRPr="00C8275B" w:rsidRDefault="004F53A1" w:rsidP="00453DD2">
            <w:pPr>
              <w:rPr>
                <w:rFonts w:ascii="Times New Roman" w:hAnsi="Times New Roman" w:cs="Times New Roman"/>
                <w:sz w:val="22"/>
                <w:szCs w:val="22"/>
              </w:rPr>
            </w:pPr>
            <w:r w:rsidRPr="00C8275B">
              <w:rPr>
                <w:rFonts w:ascii="Times New Roman" w:hAnsi="Times New Roman" w:cs="Times New Roman"/>
                <w:sz w:val="22"/>
                <w:szCs w:val="22"/>
              </w:rPr>
              <w:t> </w:t>
            </w:r>
          </w:p>
        </w:tc>
      </w:tr>
      <w:tr w:rsidR="004F53A1" w:rsidRPr="00C8275B" w14:paraId="2911836B"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3A6972F5"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 </w:t>
            </w:r>
          </w:p>
        </w:tc>
        <w:tc>
          <w:tcPr>
            <w:tcW w:w="483" w:type="pct"/>
            <w:tcBorders>
              <w:top w:val="single" w:sz="4" w:space="0" w:color="auto"/>
              <w:left w:val="nil"/>
              <w:bottom w:val="single" w:sz="4" w:space="0" w:color="auto"/>
              <w:right w:val="nil"/>
            </w:tcBorders>
            <w:shd w:val="clear" w:color="auto" w:fill="FFFFFF" w:themeFill="background1"/>
            <w:vAlign w:val="center"/>
            <w:hideMark/>
          </w:tcPr>
          <w:p w14:paraId="7A6BE243" w14:textId="77777777" w:rsidR="004F53A1" w:rsidRPr="00C8275B" w:rsidRDefault="004F53A1" w:rsidP="00453DD2">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Aum</w:t>
            </w:r>
            <w:proofErr w:type="spellEnd"/>
            <w:r w:rsidRPr="00C8275B">
              <w:rPr>
                <w:rFonts w:ascii="Times New Roman" w:hAnsi="Times New Roman" w:cs="Times New Roman"/>
                <w:b/>
                <w:bCs/>
                <w:sz w:val="18"/>
                <w:szCs w:val="18"/>
              </w:rPr>
              <w:t>.</w:t>
            </w:r>
          </w:p>
        </w:tc>
        <w:tc>
          <w:tcPr>
            <w:tcW w:w="634" w:type="pct"/>
            <w:tcBorders>
              <w:top w:val="single" w:sz="4" w:space="0" w:color="auto"/>
              <w:left w:val="nil"/>
              <w:bottom w:val="single" w:sz="4" w:space="0" w:color="auto"/>
              <w:right w:val="nil"/>
            </w:tcBorders>
            <w:shd w:val="clear" w:color="auto" w:fill="FFFFFF" w:themeFill="background1"/>
            <w:vAlign w:val="center"/>
            <w:hideMark/>
          </w:tcPr>
          <w:p w14:paraId="17D42C90" w14:textId="77777777" w:rsidR="004F53A1" w:rsidRPr="00C8275B" w:rsidRDefault="004F53A1" w:rsidP="00453DD2">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Dism</w:t>
            </w:r>
            <w:proofErr w:type="spellEnd"/>
            <w:r w:rsidRPr="00C8275B">
              <w:rPr>
                <w:rFonts w:ascii="Times New Roman" w:hAnsi="Times New Roman" w:cs="Times New Roman"/>
                <w:b/>
                <w:bCs/>
                <w:sz w:val="18"/>
                <w:szCs w:val="18"/>
              </w:rPr>
              <w:t>.</w:t>
            </w:r>
          </w:p>
        </w:tc>
        <w:tc>
          <w:tcPr>
            <w:tcW w:w="748" w:type="pct"/>
            <w:tcBorders>
              <w:top w:val="single" w:sz="4" w:space="0" w:color="auto"/>
              <w:left w:val="nil"/>
              <w:bottom w:val="single" w:sz="4" w:space="0" w:color="auto"/>
              <w:right w:val="nil"/>
            </w:tcBorders>
            <w:shd w:val="clear" w:color="auto" w:fill="FFFFFF" w:themeFill="background1"/>
            <w:vAlign w:val="center"/>
            <w:hideMark/>
          </w:tcPr>
          <w:p w14:paraId="41BE4C7B" w14:textId="77777777" w:rsidR="004F53A1" w:rsidRPr="00C8275B" w:rsidRDefault="004F53A1" w:rsidP="00453DD2">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Efec</w:t>
            </w:r>
            <w:proofErr w:type="spellEnd"/>
            <w:r w:rsidRPr="00C8275B">
              <w:rPr>
                <w:rFonts w:ascii="Times New Roman" w:hAnsi="Times New Roman" w:cs="Times New Roman"/>
                <w:b/>
                <w:bCs/>
                <w:sz w:val="18"/>
                <w:szCs w:val="18"/>
              </w:rPr>
              <w:t xml:space="preserve"> Neto</w:t>
            </w:r>
          </w:p>
        </w:tc>
        <w:tc>
          <w:tcPr>
            <w:tcW w:w="536" w:type="pct"/>
            <w:tcBorders>
              <w:top w:val="single" w:sz="4" w:space="0" w:color="auto"/>
              <w:left w:val="nil"/>
              <w:bottom w:val="single" w:sz="4" w:space="0" w:color="auto"/>
              <w:right w:val="nil"/>
            </w:tcBorders>
            <w:shd w:val="clear" w:color="auto" w:fill="FFFFFF" w:themeFill="background1"/>
            <w:vAlign w:val="center"/>
            <w:hideMark/>
          </w:tcPr>
          <w:p w14:paraId="3C88DF0E" w14:textId="77777777" w:rsidR="004F53A1" w:rsidRPr="00C8275B" w:rsidRDefault="004F53A1" w:rsidP="00453DD2">
            <w:pPr>
              <w:jc w:val="center"/>
              <w:rPr>
                <w:rFonts w:ascii="Times New Roman" w:hAnsi="Times New Roman" w:cs="Times New Roman"/>
                <w:b/>
                <w:bCs/>
                <w:sz w:val="18"/>
                <w:szCs w:val="18"/>
              </w:rPr>
            </w:pPr>
            <w:r w:rsidRPr="00C8275B">
              <w:rPr>
                <w:rFonts w:ascii="Times New Roman" w:hAnsi="Times New Roman" w:cs="Times New Roman"/>
                <w:b/>
                <w:bCs/>
                <w:sz w:val="18"/>
                <w:szCs w:val="18"/>
              </w:rPr>
              <w:t>Aumentos</w:t>
            </w:r>
          </w:p>
        </w:tc>
        <w:tc>
          <w:tcPr>
            <w:tcW w:w="403" w:type="pct"/>
            <w:tcBorders>
              <w:top w:val="single" w:sz="4" w:space="0" w:color="auto"/>
              <w:left w:val="nil"/>
              <w:bottom w:val="single" w:sz="4" w:space="0" w:color="auto"/>
              <w:right w:val="nil"/>
            </w:tcBorders>
            <w:shd w:val="clear" w:color="auto" w:fill="FFFFFF" w:themeFill="background1"/>
            <w:vAlign w:val="center"/>
            <w:hideMark/>
          </w:tcPr>
          <w:p w14:paraId="69E1E3CA" w14:textId="77777777" w:rsidR="004F53A1" w:rsidRPr="00C8275B" w:rsidRDefault="004F53A1" w:rsidP="00453DD2">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Dism</w:t>
            </w:r>
            <w:proofErr w:type="spellEnd"/>
            <w:r w:rsidRPr="00C8275B">
              <w:rPr>
                <w:rFonts w:ascii="Times New Roman" w:hAnsi="Times New Roman" w:cs="Times New Roman"/>
                <w:b/>
                <w:bCs/>
                <w:sz w:val="18"/>
                <w:szCs w:val="18"/>
              </w:rPr>
              <w:t>.</w:t>
            </w:r>
          </w:p>
        </w:tc>
        <w:tc>
          <w:tcPr>
            <w:tcW w:w="570" w:type="pct"/>
            <w:tcBorders>
              <w:top w:val="single" w:sz="4" w:space="0" w:color="auto"/>
              <w:left w:val="nil"/>
              <w:bottom w:val="single" w:sz="4" w:space="0" w:color="auto"/>
              <w:right w:val="nil"/>
            </w:tcBorders>
            <w:shd w:val="clear" w:color="auto" w:fill="FFFFFF" w:themeFill="background1"/>
            <w:vAlign w:val="center"/>
            <w:hideMark/>
          </w:tcPr>
          <w:p w14:paraId="19ECB612" w14:textId="77777777" w:rsidR="004F53A1" w:rsidRPr="00C8275B" w:rsidRDefault="004F53A1" w:rsidP="00453DD2">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Efec</w:t>
            </w:r>
            <w:proofErr w:type="spellEnd"/>
            <w:r w:rsidRPr="00C8275B">
              <w:rPr>
                <w:rFonts w:ascii="Times New Roman" w:hAnsi="Times New Roman" w:cs="Times New Roman"/>
                <w:b/>
                <w:bCs/>
                <w:sz w:val="18"/>
                <w:szCs w:val="18"/>
              </w:rPr>
              <w:t xml:space="preserve"> Neto</w:t>
            </w:r>
          </w:p>
        </w:tc>
      </w:tr>
      <w:tr w:rsidR="004F53A1" w:rsidRPr="00C8275B" w14:paraId="27EEFC8F" w14:textId="77777777" w:rsidTr="00414010">
        <w:trPr>
          <w:trHeight w:hRule="exact" w:val="247"/>
          <w:jc w:val="right"/>
        </w:trPr>
        <w:tc>
          <w:tcPr>
            <w:tcW w:w="1626" w:type="pct"/>
            <w:tcBorders>
              <w:top w:val="single" w:sz="4" w:space="0" w:color="auto"/>
              <w:left w:val="nil"/>
              <w:bottom w:val="nil"/>
              <w:right w:val="nil"/>
            </w:tcBorders>
            <w:shd w:val="clear" w:color="auto" w:fill="FFFFFF" w:themeFill="background1"/>
            <w:vAlign w:val="center"/>
            <w:hideMark/>
          </w:tcPr>
          <w:p w14:paraId="1FEB6029"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Impuesto sobre Sociedades</w:t>
            </w:r>
          </w:p>
        </w:tc>
        <w:tc>
          <w:tcPr>
            <w:tcW w:w="483" w:type="pct"/>
            <w:tcBorders>
              <w:top w:val="single" w:sz="4" w:space="0" w:color="auto"/>
              <w:left w:val="nil"/>
              <w:bottom w:val="nil"/>
              <w:right w:val="nil"/>
            </w:tcBorders>
            <w:shd w:val="clear" w:color="auto" w:fill="FFFFFF" w:themeFill="background1"/>
            <w:vAlign w:val="center"/>
            <w:hideMark/>
          </w:tcPr>
          <w:p w14:paraId="23D4D8E4"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4" w:type="pct"/>
            <w:tcBorders>
              <w:top w:val="single" w:sz="4" w:space="0" w:color="auto"/>
              <w:left w:val="nil"/>
              <w:bottom w:val="nil"/>
              <w:right w:val="nil"/>
            </w:tcBorders>
            <w:shd w:val="clear" w:color="auto" w:fill="FFFFFF" w:themeFill="background1"/>
            <w:vAlign w:val="center"/>
            <w:hideMark/>
          </w:tcPr>
          <w:p w14:paraId="37916E0F"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single" w:sz="4" w:space="0" w:color="auto"/>
              <w:left w:val="nil"/>
              <w:bottom w:val="nil"/>
              <w:right w:val="nil"/>
            </w:tcBorders>
            <w:shd w:val="clear" w:color="auto" w:fill="FFFFFF" w:themeFill="background1"/>
            <w:vAlign w:val="center"/>
            <w:hideMark/>
          </w:tcPr>
          <w:p w14:paraId="6137F703"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single" w:sz="4" w:space="0" w:color="auto"/>
              <w:left w:val="nil"/>
              <w:bottom w:val="nil"/>
              <w:right w:val="nil"/>
            </w:tcBorders>
            <w:shd w:val="clear" w:color="auto" w:fill="FFFFFF" w:themeFill="background1"/>
            <w:vAlign w:val="center"/>
            <w:hideMark/>
          </w:tcPr>
          <w:p w14:paraId="3B0C0575" w14:textId="77777777" w:rsidR="004F53A1" w:rsidRPr="00C8275B" w:rsidRDefault="004F53A1" w:rsidP="00453DD2">
            <w:pPr>
              <w:rPr>
                <w:rFonts w:ascii="Times New Roman" w:hAnsi="Times New Roman" w:cs="Times New Roman"/>
                <w:sz w:val="22"/>
                <w:szCs w:val="22"/>
              </w:rPr>
            </w:pPr>
          </w:p>
        </w:tc>
        <w:tc>
          <w:tcPr>
            <w:tcW w:w="403" w:type="pct"/>
            <w:tcBorders>
              <w:top w:val="single" w:sz="4" w:space="0" w:color="auto"/>
              <w:left w:val="nil"/>
              <w:bottom w:val="nil"/>
              <w:right w:val="nil"/>
            </w:tcBorders>
            <w:shd w:val="clear" w:color="auto" w:fill="FFFFFF" w:themeFill="background1"/>
            <w:vAlign w:val="center"/>
            <w:hideMark/>
          </w:tcPr>
          <w:p w14:paraId="573A2B66" w14:textId="77777777" w:rsidR="004F53A1" w:rsidRPr="00C8275B" w:rsidRDefault="004F53A1" w:rsidP="00453DD2">
            <w:pPr>
              <w:rPr>
                <w:rFonts w:ascii="Times New Roman" w:hAnsi="Times New Roman" w:cs="Times New Roman"/>
                <w:sz w:val="22"/>
                <w:szCs w:val="22"/>
              </w:rPr>
            </w:pPr>
          </w:p>
        </w:tc>
        <w:tc>
          <w:tcPr>
            <w:tcW w:w="570" w:type="pct"/>
            <w:tcBorders>
              <w:top w:val="single" w:sz="4" w:space="0" w:color="auto"/>
              <w:left w:val="nil"/>
              <w:bottom w:val="nil"/>
              <w:right w:val="nil"/>
            </w:tcBorders>
            <w:shd w:val="clear" w:color="auto" w:fill="FFFFFF" w:themeFill="background1"/>
            <w:vAlign w:val="center"/>
            <w:hideMark/>
          </w:tcPr>
          <w:p w14:paraId="6D9FD659" w14:textId="77777777" w:rsidR="004F53A1" w:rsidRPr="00C8275B" w:rsidRDefault="004F53A1" w:rsidP="00453DD2">
            <w:pPr>
              <w:rPr>
                <w:rFonts w:ascii="Times New Roman" w:hAnsi="Times New Roman" w:cs="Times New Roman"/>
                <w:sz w:val="22"/>
                <w:szCs w:val="22"/>
              </w:rPr>
            </w:pPr>
          </w:p>
        </w:tc>
      </w:tr>
      <w:tr w:rsidR="004F53A1" w:rsidRPr="00C8275B" w14:paraId="564BB434"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165BC6E7"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Diferencias permanentes</w:t>
            </w:r>
          </w:p>
        </w:tc>
        <w:tc>
          <w:tcPr>
            <w:tcW w:w="483" w:type="pct"/>
            <w:tcBorders>
              <w:top w:val="nil"/>
              <w:left w:val="nil"/>
              <w:bottom w:val="nil"/>
              <w:right w:val="nil"/>
            </w:tcBorders>
            <w:shd w:val="clear" w:color="auto" w:fill="FFFFFF" w:themeFill="background1"/>
            <w:vAlign w:val="center"/>
            <w:hideMark/>
          </w:tcPr>
          <w:p w14:paraId="59EA544C" w14:textId="12986F03" w:rsidR="004F53A1" w:rsidRPr="00C8275B" w:rsidRDefault="004F53A1" w:rsidP="00453DD2">
            <w:pPr>
              <w:jc w:val="right"/>
              <w:rPr>
                <w:rFonts w:ascii="Times New Roman" w:hAnsi="Times New Roman" w:cs="Times New Roman"/>
                <w:sz w:val="18"/>
                <w:szCs w:val="18"/>
              </w:rPr>
            </w:pPr>
            <w:r>
              <w:rPr>
                <w:rFonts w:ascii="Times New Roman" w:hAnsi="Times New Roman" w:cs="Times New Roman"/>
                <w:sz w:val="18"/>
                <w:szCs w:val="18"/>
              </w:rPr>
              <w:t>1</w:t>
            </w:r>
            <w:r w:rsidRPr="00C8275B">
              <w:rPr>
                <w:rFonts w:ascii="Times New Roman" w:hAnsi="Times New Roman" w:cs="Times New Roman"/>
                <w:sz w:val="18"/>
                <w:szCs w:val="18"/>
              </w:rPr>
              <w:t>.</w:t>
            </w:r>
            <w:r>
              <w:rPr>
                <w:rFonts w:ascii="Times New Roman" w:hAnsi="Times New Roman" w:cs="Times New Roman"/>
                <w:sz w:val="18"/>
                <w:szCs w:val="18"/>
              </w:rPr>
              <w:t>288</w:t>
            </w:r>
            <w:r w:rsidRPr="00C8275B">
              <w:rPr>
                <w:rFonts w:ascii="Times New Roman" w:hAnsi="Times New Roman" w:cs="Times New Roman"/>
                <w:sz w:val="18"/>
                <w:szCs w:val="18"/>
              </w:rPr>
              <w:t>,</w:t>
            </w:r>
            <w:r>
              <w:rPr>
                <w:rFonts w:ascii="Times New Roman" w:hAnsi="Times New Roman" w:cs="Times New Roman"/>
                <w:sz w:val="18"/>
                <w:szCs w:val="18"/>
              </w:rPr>
              <w:t>45</w:t>
            </w:r>
          </w:p>
        </w:tc>
        <w:tc>
          <w:tcPr>
            <w:tcW w:w="634" w:type="pct"/>
            <w:tcBorders>
              <w:top w:val="nil"/>
              <w:left w:val="nil"/>
              <w:bottom w:val="nil"/>
              <w:right w:val="nil"/>
            </w:tcBorders>
            <w:shd w:val="clear" w:color="auto" w:fill="FFFFFF" w:themeFill="background1"/>
            <w:vAlign w:val="center"/>
            <w:hideMark/>
          </w:tcPr>
          <w:p w14:paraId="0DB0D349" w14:textId="77777777" w:rsidR="004F53A1" w:rsidRPr="00C8275B" w:rsidRDefault="004F53A1" w:rsidP="00453DD2">
            <w:pPr>
              <w:rPr>
                <w:rFonts w:ascii="Times New Roman" w:hAnsi="Times New Roman" w:cs="Times New Roman"/>
                <w:sz w:val="22"/>
                <w:szCs w:val="22"/>
              </w:rPr>
            </w:pPr>
          </w:p>
        </w:tc>
        <w:tc>
          <w:tcPr>
            <w:tcW w:w="748" w:type="pct"/>
            <w:tcBorders>
              <w:top w:val="nil"/>
              <w:left w:val="nil"/>
              <w:bottom w:val="nil"/>
              <w:right w:val="nil"/>
            </w:tcBorders>
            <w:shd w:val="clear" w:color="auto" w:fill="FFFFFF" w:themeFill="background1"/>
            <w:vAlign w:val="center"/>
            <w:hideMark/>
          </w:tcPr>
          <w:p w14:paraId="53A64BAB" w14:textId="23231556" w:rsidR="004F53A1" w:rsidRPr="00C8275B" w:rsidRDefault="004F53A1" w:rsidP="00453DD2">
            <w:pPr>
              <w:jc w:val="right"/>
              <w:rPr>
                <w:rFonts w:ascii="Times New Roman" w:hAnsi="Times New Roman" w:cs="Times New Roman"/>
                <w:sz w:val="18"/>
                <w:szCs w:val="18"/>
              </w:rPr>
            </w:pPr>
            <w:r>
              <w:rPr>
                <w:rFonts w:ascii="Times New Roman" w:hAnsi="Times New Roman" w:cs="Times New Roman"/>
                <w:sz w:val="18"/>
                <w:szCs w:val="18"/>
              </w:rPr>
              <w:t>-1</w:t>
            </w:r>
            <w:r w:rsidRPr="00C8275B">
              <w:rPr>
                <w:rFonts w:ascii="Times New Roman" w:hAnsi="Times New Roman" w:cs="Times New Roman"/>
                <w:sz w:val="18"/>
                <w:szCs w:val="18"/>
              </w:rPr>
              <w:t>.</w:t>
            </w:r>
            <w:r>
              <w:rPr>
                <w:rFonts w:ascii="Times New Roman" w:hAnsi="Times New Roman" w:cs="Times New Roman"/>
                <w:sz w:val="18"/>
                <w:szCs w:val="18"/>
              </w:rPr>
              <w:t>610.810</w:t>
            </w:r>
            <w:r w:rsidRPr="00C8275B">
              <w:rPr>
                <w:rFonts w:ascii="Times New Roman" w:hAnsi="Times New Roman" w:cs="Times New Roman"/>
                <w:sz w:val="18"/>
                <w:szCs w:val="18"/>
              </w:rPr>
              <w:t>,</w:t>
            </w:r>
            <w:r>
              <w:rPr>
                <w:rFonts w:ascii="Times New Roman" w:hAnsi="Times New Roman" w:cs="Times New Roman"/>
                <w:sz w:val="18"/>
                <w:szCs w:val="18"/>
              </w:rPr>
              <w:t>47</w:t>
            </w:r>
          </w:p>
        </w:tc>
        <w:tc>
          <w:tcPr>
            <w:tcW w:w="536" w:type="pct"/>
            <w:tcBorders>
              <w:top w:val="nil"/>
              <w:left w:val="nil"/>
              <w:bottom w:val="nil"/>
              <w:right w:val="nil"/>
            </w:tcBorders>
            <w:shd w:val="clear" w:color="auto" w:fill="FFFFFF" w:themeFill="background1"/>
            <w:vAlign w:val="center"/>
            <w:hideMark/>
          </w:tcPr>
          <w:p w14:paraId="2DB1C925"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187E6B1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44DFBC68" w14:textId="77777777" w:rsidR="004F53A1" w:rsidRPr="00C8275B" w:rsidRDefault="004F53A1" w:rsidP="00453DD2">
            <w:pPr>
              <w:rPr>
                <w:rFonts w:ascii="Times New Roman" w:hAnsi="Times New Roman" w:cs="Times New Roman"/>
                <w:sz w:val="22"/>
                <w:szCs w:val="22"/>
              </w:rPr>
            </w:pPr>
          </w:p>
        </w:tc>
      </w:tr>
      <w:tr w:rsidR="004F53A1" w:rsidRPr="00C8275B" w14:paraId="6E65E13C"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314D013D"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Diferencias temporarias:</w:t>
            </w:r>
          </w:p>
        </w:tc>
        <w:tc>
          <w:tcPr>
            <w:tcW w:w="483" w:type="pct"/>
            <w:tcBorders>
              <w:top w:val="nil"/>
              <w:left w:val="nil"/>
              <w:bottom w:val="nil"/>
              <w:right w:val="nil"/>
            </w:tcBorders>
            <w:shd w:val="clear" w:color="auto" w:fill="FFFFFF" w:themeFill="background1"/>
            <w:vAlign w:val="center"/>
            <w:hideMark/>
          </w:tcPr>
          <w:p w14:paraId="72354C89"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01C619A3"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nil"/>
              <w:left w:val="nil"/>
              <w:bottom w:val="nil"/>
              <w:right w:val="nil"/>
            </w:tcBorders>
            <w:shd w:val="clear" w:color="auto" w:fill="FFFFFF" w:themeFill="background1"/>
            <w:vAlign w:val="center"/>
            <w:hideMark/>
          </w:tcPr>
          <w:p w14:paraId="27D22B0D"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44CA6B57"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2484BC61"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133B8B90" w14:textId="77777777" w:rsidR="004F53A1" w:rsidRPr="00C8275B" w:rsidRDefault="004F53A1" w:rsidP="00453DD2">
            <w:pPr>
              <w:rPr>
                <w:rFonts w:ascii="Times New Roman" w:hAnsi="Times New Roman" w:cs="Times New Roman"/>
                <w:sz w:val="22"/>
                <w:szCs w:val="22"/>
              </w:rPr>
            </w:pPr>
          </w:p>
        </w:tc>
      </w:tr>
      <w:tr w:rsidR="004F53A1" w:rsidRPr="00C8275B" w14:paraId="4AFD5AEC"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557EB767"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-con origen en el ejercicio</w:t>
            </w:r>
          </w:p>
        </w:tc>
        <w:tc>
          <w:tcPr>
            <w:tcW w:w="483" w:type="pct"/>
            <w:tcBorders>
              <w:top w:val="nil"/>
              <w:left w:val="nil"/>
              <w:bottom w:val="nil"/>
              <w:right w:val="nil"/>
            </w:tcBorders>
            <w:shd w:val="clear" w:color="auto" w:fill="FFFFFF" w:themeFill="background1"/>
            <w:vAlign w:val="center"/>
            <w:hideMark/>
          </w:tcPr>
          <w:p w14:paraId="794EC6F4"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5E3364FE" w14:textId="77777777" w:rsidR="004F53A1" w:rsidRPr="00C8275B" w:rsidRDefault="004F53A1" w:rsidP="00453DD2">
            <w:pPr>
              <w:rPr>
                <w:rFonts w:ascii="Times New Roman" w:hAnsi="Times New Roman" w:cs="Times New Roman"/>
                <w:sz w:val="22"/>
                <w:szCs w:val="22"/>
              </w:rPr>
            </w:pPr>
          </w:p>
        </w:tc>
        <w:tc>
          <w:tcPr>
            <w:tcW w:w="748" w:type="pct"/>
            <w:tcBorders>
              <w:top w:val="nil"/>
              <w:left w:val="nil"/>
              <w:bottom w:val="nil"/>
              <w:right w:val="nil"/>
            </w:tcBorders>
            <w:shd w:val="clear" w:color="auto" w:fill="FFFFFF" w:themeFill="background1"/>
            <w:vAlign w:val="center"/>
            <w:hideMark/>
          </w:tcPr>
          <w:p w14:paraId="74B642E8"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0F31A7EF"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7F0433C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F43E6E2" w14:textId="77777777" w:rsidR="004F53A1" w:rsidRPr="00C8275B" w:rsidRDefault="004F53A1" w:rsidP="00453DD2">
            <w:pPr>
              <w:rPr>
                <w:rFonts w:ascii="Times New Roman" w:hAnsi="Times New Roman" w:cs="Times New Roman"/>
                <w:sz w:val="22"/>
                <w:szCs w:val="22"/>
              </w:rPr>
            </w:pPr>
          </w:p>
        </w:tc>
      </w:tr>
      <w:tr w:rsidR="004F53A1" w:rsidRPr="00C8275B" w14:paraId="3821B34A"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7495DC02"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 xml:space="preserve">-con origen en </w:t>
            </w:r>
            <w:proofErr w:type="spellStart"/>
            <w:r w:rsidRPr="00C8275B">
              <w:rPr>
                <w:rFonts w:ascii="Times New Roman" w:hAnsi="Times New Roman" w:cs="Times New Roman"/>
                <w:sz w:val="16"/>
                <w:szCs w:val="16"/>
              </w:rPr>
              <w:t>ejer</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anter</w:t>
            </w:r>
            <w:proofErr w:type="spellEnd"/>
            <w:r w:rsidRPr="00C8275B">
              <w:rPr>
                <w:rFonts w:ascii="Times New Roman" w:hAnsi="Times New Roman" w:cs="Times New Roman"/>
                <w:sz w:val="16"/>
                <w:szCs w:val="16"/>
              </w:rPr>
              <w:t>.</w:t>
            </w:r>
          </w:p>
        </w:tc>
        <w:tc>
          <w:tcPr>
            <w:tcW w:w="483" w:type="pct"/>
            <w:tcBorders>
              <w:top w:val="nil"/>
              <w:left w:val="nil"/>
              <w:bottom w:val="nil"/>
              <w:right w:val="nil"/>
            </w:tcBorders>
            <w:shd w:val="clear" w:color="auto" w:fill="FFFFFF" w:themeFill="background1"/>
            <w:vAlign w:val="center"/>
            <w:hideMark/>
          </w:tcPr>
          <w:p w14:paraId="3426357C" w14:textId="77777777" w:rsidR="004F53A1" w:rsidRPr="00C8275B" w:rsidRDefault="004F53A1" w:rsidP="00453DD2">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38DE9A28"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748" w:type="pct"/>
            <w:tcBorders>
              <w:top w:val="nil"/>
              <w:left w:val="nil"/>
              <w:bottom w:val="nil"/>
              <w:right w:val="nil"/>
            </w:tcBorders>
            <w:shd w:val="clear" w:color="auto" w:fill="FFFFFF" w:themeFill="background1"/>
            <w:vAlign w:val="center"/>
            <w:hideMark/>
          </w:tcPr>
          <w:p w14:paraId="4ECCCEA4" w14:textId="77777777" w:rsidR="004F53A1" w:rsidRPr="00C8275B" w:rsidRDefault="004F53A1" w:rsidP="00453DD2">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536" w:type="pct"/>
            <w:tcBorders>
              <w:top w:val="nil"/>
              <w:left w:val="nil"/>
              <w:bottom w:val="nil"/>
              <w:right w:val="nil"/>
            </w:tcBorders>
            <w:shd w:val="clear" w:color="auto" w:fill="FFFFFF" w:themeFill="background1"/>
            <w:vAlign w:val="center"/>
            <w:hideMark/>
          </w:tcPr>
          <w:p w14:paraId="222048D0" w14:textId="77777777" w:rsidR="004F53A1" w:rsidRPr="00C8275B" w:rsidRDefault="004F53A1" w:rsidP="00453DD2">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B96283B" w14:textId="77777777" w:rsidR="004F53A1" w:rsidRPr="00C8275B" w:rsidRDefault="004F53A1" w:rsidP="00453DD2">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A924303" w14:textId="77777777" w:rsidR="004F53A1" w:rsidRPr="00C8275B" w:rsidRDefault="004F53A1" w:rsidP="00453DD2">
            <w:pPr>
              <w:rPr>
                <w:rFonts w:ascii="Times New Roman" w:hAnsi="Times New Roman" w:cs="Times New Roman"/>
                <w:sz w:val="22"/>
                <w:szCs w:val="22"/>
              </w:rPr>
            </w:pPr>
          </w:p>
        </w:tc>
      </w:tr>
      <w:tr w:rsidR="004F53A1" w:rsidRPr="00C8275B" w14:paraId="202D98F8" w14:textId="77777777" w:rsidTr="00414010">
        <w:trPr>
          <w:trHeight w:hRule="exact" w:val="247"/>
          <w:jc w:val="right"/>
        </w:trPr>
        <w:tc>
          <w:tcPr>
            <w:tcW w:w="1626" w:type="pct"/>
            <w:tcBorders>
              <w:top w:val="nil"/>
              <w:left w:val="nil"/>
              <w:bottom w:val="single" w:sz="4" w:space="0" w:color="auto"/>
              <w:right w:val="nil"/>
            </w:tcBorders>
            <w:shd w:val="clear" w:color="auto" w:fill="FFFFFF" w:themeFill="background1"/>
            <w:vAlign w:val="center"/>
            <w:hideMark/>
          </w:tcPr>
          <w:p w14:paraId="7FE7F89E"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 xml:space="preserve">Compensación BI </w:t>
            </w:r>
            <w:proofErr w:type="spellStart"/>
            <w:r w:rsidRPr="00C8275B">
              <w:rPr>
                <w:rFonts w:ascii="Times New Roman" w:hAnsi="Times New Roman" w:cs="Times New Roman"/>
                <w:sz w:val="16"/>
                <w:szCs w:val="16"/>
              </w:rPr>
              <w:t>negat</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ejer</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anter</w:t>
            </w:r>
            <w:proofErr w:type="spellEnd"/>
            <w:r w:rsidRPr="00C8275B">
              <w:rPr>
                <w:rFonts w:ascii="Times New Roman" w:hAnsi="Times New Roman" w:cs="Times New Roman"/>
                <w:sz w:val="16"/>
                <w:szCs w:val="16"/>
              </w:rPr>
              <w:t>.</w:t>
            </w:r>
          </w:p>
        </w:tc>
        <w:tc>
          <w:tcPr>
            <w:tcW w:w="3374" w:type="pct"/>
            <w:gridSpan w:val="6"/>
            <w:tcBorders>
              <w:top w:val="nil"/>
              <w:left w:val="nil"/>
              <w:bottom w:val="single" w:sz="4" w:space="0" w:color="auto"/>
              <w:right w:val="nil"/>
            </w:tcBorders>
            <w:shd w:val="clear" w:color="auto" w:fill="FFFFFF" w:themeFill="background1"/>
            <w:vAlign w:val="center"/>
            <w:hideMark/>
          </w:tcPr>
          <w:p w14:paraId="0139C455" w14:textId="2F766DFA" w:rsidR="004F53A1" w:rsidRPr="00C8275B" w:rsidRDefault="004F53A1" w:rsidP="00453DD2">
            <w:pPr>
              <w:rPr>
                <w:rFonts w:ascii="Times New Roman" w:hAnsi="Times New Roman" w:cs="Times New Roman"/>
                <w:sz w:val="18"/>
                <w:szCs w:val="18"/>
              </w:rPr>
            </w:pPr>
            <w:r w:rsidRPr="00C8275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8275B">
              <w:rPr>
                <w:rFonts w:ascii="Times New Roman" w:hAnsi="Times New Roman" w:cs="Times New Roman"/>
                <w:sz w:val="18"/>
                <w:szCs w:val="18"/>
              </w:rPr>
              <w:t>0,</w:t>
            </w:r>
            <w:r>
              <w:rPr>
                <w:rFonts w:ascii="Times New Roman" w:hAnsi="Times New Roman" w:cs="Times New Roman"/>
                <w:sz w:val="18"/>
                <w:szCs w:val="18"/>
              </w:rPr>
              <w:t>00</w:t>
            </w:r>
          </w:p>
        </w:tc>
      </w:tr>
      <w:tr w:rsidR="004F53A1" w:rsidRPr="00C8275B" w14:paraId="66E326B4"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10521C64" w14:textId="77777777" w:rsidR="004F53A1" w:rsidRPr="00C8275B" w:rsidRDefault="004F53A1" w:rsidP="00453DD2">
            <w:pPr>
              <w:rPr>
                <w:rFonts w:ascii="Times New Roman" w:hAnsi="Times New Roman" w:cs="Times New Roman"/>
                <w:sz w:val="16"/>
                <w:szCs w:val="16"/>
              </w:rPr>
            </w:pPr>
            <w:r w:rsidRPr="00C8275B">
              <w:rPr>
                <w:rFonts w:ascii="Times New Roman" w:hAnsi="Times New Roman" w:cs="Times New Roman"/>
                <w:sz w:val="16"/>
                <w:szCs w:val="16"/>
              </w:rPr>
              <w:t>Base imponible (</w:t>
            </w:r>
            <w:proofErr w:type="spellStart"/>
            <w:r w:rsidRPr="00C8275B">
              <w:rPr>
                <w:rFonts w:ascii="Times New Roman" w:hAnsi="Times New Roman" w:cs="Times New Roman"/>
                <w:sz w:val="16"/>
                <w:szCs w:val="16"/>
              </w:rPr>
              <w:t>rtdo</w:t>
            </w:r>
            <w:proofErr w:type="spellEnd"/>
            <w:r w:rsidRPr="00C8275B">
              <w:rPr>
                <w:rFonts w:ascii="Times New Roman" w:hAnsi="Times New Roman" w:cs="Times New Roman"/>
                <w:sz w:val="16"/>
                <w:szCs w:val="16"/>
              </w:rPr>
              <w:t>. fiscal)</w:t>
            </w:r>
          </w:p>
        </w:tc>
        <w:tc>
          <w:tcPr>
            <w:tcW w:w="3374" w:type="pct"/>
            <w:gridSpan w:val="6"/>
            <w:tcBorders>
              <w:top w:val="single" w:sz="4" w:space="0" w:color="auto"/>
              <w:left w:val="nil"/>
              <w:bottom w:val="single" w:sz="4" w:space="0" w:color="auto"/>
              <w:right w:val="nil"/>
            </w:tcBorders>
            <w:shd w:val="clear" w:color="auto" w:fill="FFFFFF" w:themeFill="background1"/>
            <w:vAlign w:val="center"/>
            <w:hideMark/>
          </w:tcPr>
          <w:p w14:paraId="3917F372" w14:textId="2D8E4D6E" w:rsidR="004F53A1" w:rsidRPr="00C8275B" w:rsidRDefault="004F53A1" w:rsidP="00453DD2">
            <w:pPr>
              <w:rPr>
                <w:rFonts w:ascii="Times New Roman" w:hAnsi="Times New Roman" w:cs="Times New Roman"/>
                <w:sz w:val="18"/>
                <w:szCs w:val="18"/>
              </w:rPr>
            </w:pPr>
            <w:r w:rsidRPr="00C8275B">
              <w:rPr>
                <w:rFonts w:ascii="Times New Roman" w:hAnsi="Times New Roman" w:cs="Times New Roman"/>
                <w:sz w:val="18"/>
                <w:szCs w:val="18"/>
              </w:rPr>
              <w:t xml:space="preserve">                       </w:t>
            </w:r>
            <w:r>
              <w:rPr>
                <w:rFonts w:ascii="Times New Roman" w:hAnsi="Times New Roman" w:cs="Times New Roman"/>
                <w:sz w:val="18"/>
                <w:szCs w:val="18"/>
              </w:rPr>
              <w:t>-1.610.810</w:t>
            </w:r>
            <w:r w:rsidRPr="00C8275B">
              <w:rPr>
                <w:rFonts w:ascii="Times New Roman" w:hAnsi="Times New Roman" w:cs="Times New Roman"/>
                <w:sz w:val="18"/>
                <w:szCs w:val="18"/>
              </w:rPr>
              <w:t>,</w:t>
            </w:r>
            <w:r>
              <w:rPr>
                <w:rFonts w:ascii="Times New Roman" w:hAnsi="Times New Roman" w:cs="Times New Roman"/>
                <w:sz w:val="18"/>
                <w:szCs w:val="18"/>
              </w:rPr>
              <w:t>47</w:t>
            </w:r>
          </w:p>
        </w:tc>
      </w:tr>
    </w:tbl>
    <w:p w14:paraId="1BD6A11D" w14:textId="13EFA69C" w:rsidR="00EB5A5E" w:rsidRDefault="00EB5A5E" w:rsidP="000B5AF8">
      <w:pPr>
        <w:pStyle w:val="Default"/>
        <w:ind w:right="-284"/>
        <w:rPr>
          <w:rFonts w:ascii="Times New Roman" w:hAnsi="Times New Roman" w:cs="Times New Roman"/>
          <w:b/>
          <w:color w:val="0000FF"/>
          <w:sz w:val="20"/>
          <w:szCs w:val="20"/>
          <w:u w:val="single"/>
        </w:rPr>
      </w:pPr>
    </w:p>
    <w:p w14:paraId="32F5AC9C" w14:textId="77777777" w:rsidR="00CB3858" w:rsidRDefault="00CB3858" w:rsidP="000B5AF8">
      <w:pPr>
        <w:shd w:val="clear" w:color="auto" w:fill="FFFFFF"/>
        <w:ind w:firstLine="709"/>
        <w:jc w:val="both"/>
        <w:rPr>
          <w:rFonts w:ascii="Times New Roman" w:hAnsi="Times New Roman" w:cs="Times New Roman"/>
          <w:b/>
          <w:sz w:val="22"/>
          <w:szCs w:val="22"/>
          <w:u w:val="single"/>
        </w:rPr>
      </w:pPr>
    </w:p>
    <w:p w14:paraId="0E24DBFE" w14:textId="77777777" w:rsidR="00071A7A" w:rsidRDefault="00071A7A" w:rsidP="000B5AF8">
      <w:pPr>
        <w:shd w:val="clear" w:color="auto" w:fill="FFFFFF"/>
        <w:ind w:firstLine="709"/>
        <w:jc w:val="both"/>
        <w:rPr>
          <w:rFonts w:ascii="Times New Roman" w:hAnsi="Times New Roman" w:cs="Times New Roman"/>
          <w:b/>
          <w:sz w:val="22"/>
          <w:szCs w:val="22"/>
          <w:u w:val="single"/>
        </w:rPr>
      </w:pPr>
    </w:p>
    <w:p w14:paraId="345A565E" w14:textId="77777777" w:rsidR="009A6F4A" w:rsidRDefault="009A6F4A" w:rsidP="000B5AF8">
      <w:pPr>
        <w:shd w:val="clear" w:color="auto" w:fill="FFFFFF"/>
        <w:ind w:firstLine="709"/>
        <w:jc w:val="both"/>
        <w:rPr>
          <w:rFonts w:ascii="Times New Roman" w:hAnsi="Times New Roman" w:cs="Times New Roman"/>
          <w:b/>
          <w:sz w:val="22"/>
          <w:szCs w:val="22"/>
          <w:u w:val="single"/>
        </w:rPr>
      </w:pPr>
    </w:p>
    <w:p w14:paraId="475BE5ED" w14:textId="1EFDEAC9"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lastRenderedPageBreak/>
        <w:t xml:space="preserve">Ejercicio </w:t>
      </w:r>
      <w:r w:rsidR="00924C6D" w:rsidRPr="00C8275B">
        <w:rPr>
          <w:rFonts w:ascii="Times New Roman" w:hAnsi="Times New Roman" w:cs="Times New Roman"/>
          <w:b/>
          <w:sz w:val="22"/>
          <w:szCs w:val="22"/>
          <w:u w:val="single"/>
        </w:rPr>
        <w:t>2021</w:t>
      </w:r>
    </w:p>
    <w:p w14:paraId="2B909A54" w14:textId="77777777" w:rsidR="000B5AF8" w:rsidRPr="00C8275B" w:rsidRDefault="000B5AF8" w:rsidP="000B5AF8">
      <w:pPr>
        <w:pStyle w:val="Default"/>
        <w:ind w:right="-284"/>
        <w:rPr>
          <w:rFonts w:ascii="Times New Roman" w:hAnsi="Times New Roman" w:cs="Times New Roman"/>
          <w:b/>
          <w:color w:val="auto"/>
          <w:sz w:val="20"/>
          <w:szCs w:val="20"/>
          <w:highlight w:val="yellow"/>
          <w:u w:val="single"/>
        </w:rPr>
      </w:pPr>
    </w:p>
    <w:tbl>
      <w:tblPr>
        <w:tblW w:w="4317" w:type="pct"/>
        <w:jc w:val="right"/>
        <w:tblCellMar>
          <w:left w:w="70" w:type="dxa"/>
          <w:right w:w="70" w:type="dxa"/>
        </w:tblCellMar>
        <w:tblLook w:val="04A0" w:firstRow="1" w:lastRow="0" w:firstColumn="1" w:lastColumn="0" w:noHBand="0" w:noVBand="1"/>
      </w:tblPr>
      <w:tblGrid>
        <w:gridCol w:w="2780"/>
        <w:gridCol w:w="860"/>
        <w:gridCol w:w="1080"/>
        <w:gridCol w:w="1082"/>
        <w:gridCol w:w="1107"/>
        <w:gridCol w:w="686"/>
        <w:gridCol w:w="972"/>
      </w:tblGrid>
      <w:tr w:rsidR="00530B58" w:rsidRPr="00C8275B" w14:paraId="205B70BA" w14:textId="77777777" w:rsidTr="00414010">
        <w:trPr>
          <w:trHeight w:val="328"/>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657D4B33"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 </w:t>
            </w:r>
          </w:p>
        </w:tc>
        <w:tc>
          <w:tcPr>
            <w:tcW w:w="1752" w:type="pct"/>
            <w:gridSpan w:val="3"/>
            <w:tcBorders>
              <w:top w:val="single" w:sz="4" w:space="0" w:color="auto"/>
              <w:left w:val="nil"/>
              <w:bottom w:val="single" w:sz="4" w:space="0" w:color="auto"/>
              <w:right w:val="nil"/>
            </w:tcBorders>
            <w:shd w:val="clear" w:color="auto" w:fill="FFFFFF" w:themeFill="background1"/>
            <w:vAlign w:val="center"/>
            <w:hideMark/>
          </w:tcPr>
          <w:p w14:paraId="12BAD6B2" w14:textId="77777777" w:rsidR="00530B58" w:rsidRPr="00C8275B" w:rsidRDefault="00530B58" w:rsidP="001F4723">
            <w:pPr>
              <w:jc w:val="center"/>
              <w:rPr>
                <w:rFonts w:ascii="Times New Roman" w:hAnsi="Times New Roman" w:cs="Times New Roman"/>
                <w:b/>
                <w:bCs/>
                <w:sz w:val="16"/>
                <w:szCs w:val="16"/>
              </w:rPr>
            </w:pPr>
            <w:r w:rsidRPr="00C8275B">
              <w:rPr>
                <w:rFonts w:ascii="Times New Roman" w:hAnsi="Times New Roman" w:cs="Times New Roman"/>
                <w:b/>
                <w:bCs/>
                <w:sz w:val="16"/>
                <w:szCs w:val="16"/>
              </w:rPr>
              <w:t>Cuenta de Pérdidas y Ganancias</w:t>
            </w:r>
          </w:p>
        </w:tc>
        <w:tc>
          <w:tcPr>
            <w:tcW w:w="1622" w:type="pct"/>
            <w:gridSpan w:val="3"/>
            <w:tcBorders>
              <w:top w:val="single" w:sz="4" w:space="0" w:color="auto"/>
              <w:left w:val="nil"/>
              <w:bottom w:val="single" w:sz="4" w:space="0" w:color="auto"/>
              <w:right w:val="nil"/>
            </w:tcBorders>
            <w:shd w:val="clear" w:color="auto" w:fill="FFFFFF" w:themeFill="background1"/>
            <w:vAlign w:val="center"/>
            <w:hideMark/>
          </w:tcPr>
          <w:p w14:paraId="24CB251C" w14:textId="77777777" w:rsidR="00530B58" w:rsidRPr="00C8275B" w:rsidRDefault="00530B58" w:rsidP="001F4723">
            <w:pPr>
              <w:jc w:val="center"/>
              <w:rPr>
                <w:rFonts w:ascii="Times New Roman" w:hAnsi="Times New Roman" w:cs="Times New Roman"/>
                <w:b/>
                <w:bCs/>
                <w:sz w:val="16"/>
                <w:szCs w:val="16"/>
              </w:rPr>
            </w:pPr>
            <w:r w:rsidRPr="00C8275B">
              <w:rPr>
                <w:rFonts w:ascii="Times New Roman" w:hAnsi="Times New Roman" w:cs="Times New Roman"/>
                <w:b/>
                <w:bCs/>
                <w:sz w:val="16"/>
                <w:szCs w:val="16"/>
              </w:rPr>
              <w:t>Ingresos y Gastos directamente imputados al patrimonio neto</w:t>
            </w:r>
          </w:p>
        </w:tc>
      </w:tr>
      <w:tr w:rsidR="00530B58" w:rsidRPr="00C8275B" w14:paraId="052A7A95" w14:textId="77777777" w:rsidTr="00414010">
        <w:trPr>
          <w:trHeight w:hRule="exact" w:val="296"/>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6F0042F8"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Saldo de ingresos y gastos del ejercicio</w:t>
            </w:r>
          </w:p>
        </w:tc>
        <w:tc>
          <w:tcPr>
            <w:tcW w:w="1752" w:type="pct"/>
            <w:gridSpan w:val="3"/>
            <w:tcBorders>
              <w:top w:val="single" w:sz="4" w:space="0" w:color="auto"/>
              <w:left w:val="nil"/>
              <w:bottom w:val="single" w:sz="4" w:space="0" w:color="auto"/>
              <w:right w:val="nil"/>
            </w:tcBorders>
            <w:shd w:val="clear" w:color="auto" w:fill="FFFFFF" w:themeFill="background1"/>
            <w:vAlign w:val="center"/>
            <w:hideMark/>
          </w:tcPr>
          <w:p w14:paraId="78161528" w14:textId="77777777" w:rsidR="00530B58" w:rsidRPr="00C8275B" w:rsidRDefault="00924C6D" w:rsidP="001F4723">
            <w:pPr>
              <w:jc w:val="center"/>
              <w:rPr>
                <w:rFonts w:ascii="Times New Roman" w:hAnsi="Times New Roman" w:cs="Times New Roman"/>
                <w:sz w:val="18"/>
                <w:szCs w:val="18"/>
              </w:rPr>
            </w:pPr>
            <w:r w:rsidRPr="00C8275B">
              <w:rPr>
                <w:rFonts w:ascii="Times New Roman" w:hAnsi="Times New Roman" w:cs="Times New Roman"/>
                <w:sz w:val="18"/>
                <w:szCs w:val="18"/>
              </w:rPr>
              <w:t>32.564,19</w:t>
            </w:r>
          </w:p>
        </w:tc>
        <w:tc>
          <w:tcPr>
            <w:tcW w:w="1622" w:type="pct"/>
            <w:gridSpan w:val="3"/>
            <w:tcBorders>
              <w:top w:val="single" w:sz="4" w:space="0" w:color="auto"/>
              <w:left w:val="nil"/>
              <w:bottom w:val="single" w:sz="4" w:space="0" w:color="auto"/>
              <w:right w:val="nil"/>
            </w:tcBorders>
            <w:shd w:val="clear" w:color="auto" w:fill="FFFFFF" w:themeFill="background1"/>
            <w:vAlign w:val="center"/>
            <w:hideMark/>
          </w:tcPr>
          <w:p w14:paraId="0236A37C" w14:textId="77777777" w:rsidR="00530B58" w:rsidRPr="00C8275B" w:rsidRDefault="00530B58" w:rsidP="001F4723">
            <w:pPr>
              <w:rPr>
                <w:rFonts w:ascii="Times New Roman" w:hAnsi="Times New Roman" w:cs="Times New Roman"/>
                <w:sz w:val="22"/>
                <w:szCs w:val="22"/>
              </w:rPr>
            </w:pPr>
            <w:r w:rsidRPr="00C8275B">
              <w:rPr>
                <w:rFonts w:ascii="Times New Roman" w:hAnsi="Times New Roman" w:cs="Times New Roman"/>
                <w:sz w:val="22"/>
                <w:szCs w:val="22"/>
              </w:rPr>
              <w:t> </w:t>
            </w:r>
          </w:p>
        </w:tc>
      </w:tr>
      <w:tr w:rsidR="00530B58" w:rsidRPr="00C8275B" w14:paraId="205A475A"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49AD51E4"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 </w:t>
            </w:r>
          </w:p>
        </w:tc>
        <w:tc>
          <w:tcPr>
            <w:tcW w:w="483" w:type="pct"/>
            <w:tcBorders>
              <w:top w:val="single" w:sz="4" w:space="0" w:color="auto"/>
              <w:left w:val="nil"/>
              <w:bottom w:val="single" w:sz="4" w:space="0" w:color="auto"/>
              <w:right w:val="nil"/>
            </w:tcBorders>
            <w:shd w:val="clear" w:color="auto" w:fill="FFFFFF" w:themeFill="background1"/>
            <w:vAlign w:val="center"/>
            <w:hideMark/>
          </w:tcPr>
          <w:p w14:paraId="192B654C" w14:textId="77777777" w:rsidR="00530B58" w:rsidRPr="00C8275B" w:rsidRDefault="00530B58" w:rsidP="001F4723">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Aum</w:t>
            </w:r>
            <w:proofErr w:type="spellEnd"/>
            <w:r w:rsidRPr="00C8275B">
              <w:rPr>
                <w:rFonts w:ascii="Times New Roman" w:hAnsi="Times New Roman" w:cs="Times New Roman"/>
                <w:b/>
                <w:bCs/>
                <w:sz w:val="18"/>
                <w:szCs w:val="18"/>
              </w:rPr>
              <w:t>.</w:t>
            </w:r>
          </w:p>
        </w:tc>
        <w:tc>
          <w:tcPr>
            <w:tcW w:w="634" w:type="pct"/>
            <w:tcBorders>
              <w:top w:val="single" w:sz="4" w:space="0" w:color="auto"/>
              <w:left w:val="nil"/>
              <w:bottom w:val="single" w:sz="4" w:space="0" w:color="auto"/>
              <w:right w:val="nil"/>
            </w:tcBorders>
            <w:shd w:val="clear" w:color="auto" w:fill="FFFFFF" w:themeFill="background1"/>
            <w:vAlign w:val="center"/>
            <w:hideMark/>
          </w:tcPr>
          <w:p w14:paraId="30D9D81F" w14:textId="77777777" w:rsidR="00530B58" w:rsidRPr="00C8275B" w:rsidRDefault="00530B58" w:rsidP="001F4723">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Dism</w:t>
            </w:r>
            <w:proofErr w:type="spellEnd"/>
            <w:r w:rsidRPr="00C8275B">
              <w:rPr>
                <w:rFonts w:ascii="Times New Roman" w:hAnsi="Times New Roman" w:cs="Times New Roman"/>
                <w:b/>
                <w:bCs/>
                <w:sz w:val="18"/>
                <w:szCs w:val="18"/>
              </w:rPr>
              <w:t>.</w:t>
            </w:r>
          </w:p>
        </w:tc>
        <w:tc>
          <w:tcPr>
            <w:tcW w:w="635" w:type="pct"/>
            <w:tcBorders>
              <w:top w:val="single" w:sz="4" w:space="0" w:color="auto"/>
              <w:left w:val="nil"/>
              <w:bottom w:val="single" w:sz="4" w:space="0" w:color="auto"/>
              <w:right w:val="nil"/>
            </w:tcBorders>
            <w:shd w:val="clear" w:color="auto" w:fill="FFFFFF" w:themeFill="background1"/>
            <w:vAlign w:val="center"/>
            <w:hideMark/>
          </w:tcPr>
          <w:p w14:paraId="3044E9FD" w14:textId="77777777" w:rsidR="00530B58" w:rsidRPr="00C8275B" w:rsidRDefault="00530B58" w:rsidP="001F4723">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Efec</w:t>
            </w:r>
            <w:proofErr w:type="spellEnd"/>
            <w:r w:rsidRPr="00C8275B">
              <w:rPr>
                <w:rFonts w:ascii="Times New Roman" w:hAnsi="Times New Roman" w:cs="Times New Roman"/>
                <w:b/>
                <w:bCs/>
                <w:sz w:val="18"/>
                <w:szCs w:val="18"/>
              </w:rPr>
              <w:t xml:space="preserve"> Neto</w:t>
            </w:r>
          </w:p>
        </w:tc>
        <w:tc>
          <w:tcPr>
            <w:tcW w:w="649" w:type="pct"/>
            <w:tcBorders>
              <w:top w:val="single" w:sz="4" w:space="0" w:color="auto"/>
              <w:left w:val="nil"/>
              <w:bottom w:val="single" w:sz="4" w:space="0" w:color="auto"/>
              <w:right w:val="nil"/>
            </w:tcBorders>
            <w:shd w:val="clear" w:color="auto" w:fill="FFFFFF" w:themeFill="background1"/>
            <w:vAlign w:val="center"/>
            <w:hideMark/>
          </w:tcPr>
          <w:p w14:paraId="5ED168BF" w14:textId="77777777" w:rsidR="00530B58" w:rsidRPr="00C8275B" w:rsidRDefault="00530B58" w:rsidP="001F4723">
            <w:pPr>
              <w:jc w:val="center"/>
              <w:rPr>
                <w:rFonts w:ascii="Times New Roman" w:hAnsi="Times New Roman" w:cs="Times New Roman"/>
                <w:b/>
                <w:bCs/>
                <w:sz w:val="18"/>
                <w:szCs w:val="18"/>
              </w:rPr>
            </w:pPr>
            <w:r w:rsidRPr="00C8275B">
              <w:rPr>
                <w:rFonts w:ascii="Times New Roman" w:hAnsi="Times New Roman" w:cs="Times New Roman"/>
                <w:b/>
                <w:bCs/>
                <w:sz w:val="18"/>
                <w:szCs w:val="18"/>
              </w:rPr>
              <w:t>Aumentos</w:t>
            </w:r>
          </w:p>
        </w:tc>
        <w:tc>
          <w:tcPr>
            <w:tcW w:w="403" w:type="pct"/>
            <w:tcBorders>
              <w:top w:val="single" w:sz="4" w:space="0" w:color="auto"/>
              <w:left w:val="nil"/>
              <w:bottom w:val="single" w:sz="4" w:space="0" w:color="auto"/>
              <w:right w:val="nil"/>
            </w:tcBorders>
            <w:shd w:val="clear" w:color="auto" w:fill="FFFFFF" w:themeFill="background1"/>
            <w:vAlign w:val="center"/>
            <w:hideMark/>
          </w:tcPr>
          <w:p w14:paraId="22AC5F6D" w14:textId="77777777" w:rsidR="00530B58" w:rsidRPr="00C8275B" w:rsidRDefault="00530B58" w:rsidP="001F4723">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Dism</w:t>
            </w:r>
            <w:proofErr w:type="spellEnd"/>
            <w:r w:rsidRPr="00C8275B">
              <w:rPr>
                <w:rFonts w:ascii="Times New Roman" w:hAnsi="Times New Roman" w:cs="Times New Roman"/>
                <w:b/>
                <w:bCs/>
                <w:sz w:val="18"/>
                <w:szCs w:val="18"/>
              </w:rPr>
              <w:t>.</w:t>
            </w:r>
          </w:p>
        </w:tc>
        <w:tc>
          <w:tcPr>
            <w:tcW w:w="570" w:type="pct"/>
            <w:tcBorders>
              <w:top w:val="single" w:sz="4" w:space="0" w:color="auto"/>
              <w:left w:val="nil"/>
              <w:bottom w:val="single" w:sz="4" w:space="0" w:color="auto"/>
              <w:right w:val="nil"/>
            </w:tcBorders>
            <w:shd w:val="clear" w:color="auto" w:fill="FFFFFF" w:themeFill="background1"/>
            <w:vAlign w:val="center"/>
            <w:hideMark/>
          </w:tcPr>
          <w:p w14:paraId="49D58BA0" w14:textId="77777777" w:rsidR="00530B58" w:rsidRPr="00C8275B" w:rsidRDefault="00530B58" w:rsidP="001F4723">
            <w:pPr>
              <w:jc w:val="center"/>
              <w:rPr>
                <w:rFonts w:ascii="Times New Roman" w:hAnsi="Times New Roman" w:cs="Times New Roman"/>
                <w:b/>
                <w:bCs/>
                <w:sz w:val="18"/>
                <w:szCs w:val="18"/>
              </w:rPr>
            </w:pPr>
            <w:proofErr w:type="spellStart"/>
            <w:r w:rsidRPr="00C8275B">
              <w:rPr>
                <w:rFonts w:ascii="Times New Roman" w:hAnsi="Times New Roman" w:cs="Times New Roman"/>
                <w:b/>
                <w:bCs/>
                <w:sz w:val="18"/>
                <w:szCs w:val="18"/>
              </w:rPr>
              <w:t>Efec</w:t>
            </w:r>
            <w:proofErr w:type="spellEnd"/>
            <w:r w:rsidRPr="00C8275B">
              <w:rPr>
                <w:rFonts w:ascii="Times New Roman" w:hAnsi="Times New Roman" w:cs="Times New Roman"/>
                <w:b/>
                <w:bCs/>
                <w:sz w:val="18"/>
                <w:szCs w:val="18"/>
              </w:rPr>
              <w:t xml:space="preserve"> Neto</w:t>
            </w:r>
          </w:p>
        </w:tc>
      </w:tr>
      <w:tr w:rsidR="00924C6D" w:rsidRPr="00C8275B" w14:paraId="7D7EF6D7" w14:textId="77777777" w:rsidTr="00414010">
        <w:trPr>
          <w:trHeight w:hRule="exact" w:val="247"/>
          <w:jc w:val="right"/>
        </w:trPr>
        <w:tc>
          <w:tcPr>
            <w:tcW w:w="1626" w:type="pct"/>
            <w:tcBorders>
              <w:top w:val="single" w:sz="4" w:space="0" w:color="auto"/>
              <w:left w:val="nil"/>
              <w:bottom w:val="nil"/>
              <w:right w:val="nil"/>
            </w:tcBorders>
            <w:shd w:val="clear" w:color="auto" w:fill="FFFFFF" w:themeFill="background1"/>
            <w:vAlign w:val="center"/>
            <w:hideMark/>
          </w:tcPr>
          <w:p w14:paraId="42701373"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Impuesto sobre Sociedades</w:t>
            </w:r>
          </w:p>
        </w:tc>
        <w:tc>
          <w:tcPr>
            <w:tcW w:w="483" w:type="pct"/>
            <w:tcBorders>
              <w:top w:val="single" w:sz="4" w:space="0" w:color="auto"/>
              <w:left w:val="nil"/>
              <w:bottom w:val="nil"/>
              <w:right w:val="nil"/>
            </w:tcBorders>
            <w:shd w:val="clear" w:color="auto" w:fill="FFFFFF" w:themeFill="background1"/>
            <w:vAlign w:val="center"/>
            <w:hideMark/>
          </w:tcPr>
          <w:p w14:paraId="60A6EEC1"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4" w:type="pct"/>
            <w:tcBorders>
              <w:top w:val="single" w:sz="4" w:space="0" w:color="auto"/>
              <w:left w:val="nil"/>
              <w:bottom w:val="nil"/>
              <w:right w:val="nil"/>
            </w:tcBorders>
            <w:shd w:val="clear" w:color="auto" w:fill="FFFFFF" w:themeFill="background1"/>
            <w:vAlign w:val="center"/>
            <w:hideMark/>
          </w:tcPr>
          <w:p w14:paraId="7F2242FE"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single" w:sz="4" w:space="0" w:color="auto"/>
              <w:left w:val="nil"/>
              <w:bottom w:val="nil"/>
              <w:right w:val="nil"/>
            </w:tcBorders>
            <w:shd w:val="clear" w:color="auto" w:fill="FFFFFF" w:themeFill="background1"/>
            <w:vAlign w:val="center"/>
            <w:hideMark/>
          </w:tcPr>
          <w:p w14:paraId="60710527"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single" w:sz="4" w:space="0" w:color="auto"/>
              <w:left w:val="nil"/>
              <w:bottom w:val="nil"/>
              <w:right w:val="nil"/>
            </w:tcBorders>
            <w:shd w:val="clear" w:color="auto" w:fill="FFFFFF" w:themeFill="background1"/>
            <w:vAlign w:val="center"/>
            <w:hideMark/>
          </w:tcPr>
          <w:p w14:paraId="6ADFA52C" w14:textId="77777777" w:rsidR="00924C6D" w:rsidRPr="00C8275B" w:rsidRDefault="00924C6D" w:rsidP="00682699">
            <w:pPr>
              <w:rPr>
                <w:rFonts w:ascii="Times New Roman" w:hAnsi="Times New Roman" w:cs="Times New Roman"/>
                <w:sz w:val="22"/>
                <w:szCs w:val="22"/>
              </w:rPr>
            </w:pPr>
          </w:p>
        </w:tc>
        <w:tc>
          <w:tcPr>
            <w:tcW w:w="403" w:type="pct"/>
            <w:tcBorders>
              <w:top w:val="single" w:sz="4" w:space="0" w:color="auto"/>
              <w:left w:val="nil"/>
              <w:bottom w:val="nil"/>
              <w:right w:val="nil"/>
            </w:tcBorders>
            <w:shd w:val="clear" w:color="auto" w:fill="FFFFFF" w:themeFill="background1"/>
            <w:vAlign w:val="center"/>
            <w:hideMark/>
          </w:tcPr>
          <w:p w14:paraId="20D07A6E" w14:textId="77777777" w:rsidR="00924C6D" w:rsidRPr="00C8275B" w:rsidRDefault="00924C6D" w:rsidP="00682699">
            <w:pPr>
              <w:rPr>
                <w:rFonts w:ascii="Times New Roman" w:hAnsi="Times New Roman" w:cs="Times New Roman"/>
                <w:sz w:val="22"/>
                <w:szCs w:val="22"/>
              </w:rPr>
            </w:pPr>
          </w:p>
        </w:tc>
        <w:tc>
          <w:tcPr>
            <w:tcW w:w="570" w:type="pct"/>
            <w:tcBorders>
              <w:top w:val="single" w:sz="4" w:space="0" w:color="auto"/>
              <w:left w:val="nil"/>
              <w:bottom w:val="nil"/>
              <w:right w:val="nil"/>
            </w:tcBorders>
            <w:shd w:val="clear" w:color="auto" w:fill="FFFFFF" w:themeFill="background1"/>
            <w:vAlign w:val="center"/>
            <w:hideMark/>
          </w:tcPr>
          <w:p w14:paraId="78F581BC" w14:textId="77777777" w:rsidR="00924C6D" w:rsidRPr="00C8275B" w:rsidRDefault="00924C6D" w:rsidP="00682699">
            <w:pPr>
              <w:rPr>
                <w:rFonts w:ascii="Times New Roman" w:hAnsi="Times New Roman" w:cs="Times New Roman"/>
                <w:sz w:val="22"/>
                <w:szCs w:val="22"/>
              </w:rPr>
            </w:pPr>
          </w:p>
        </w:tc>
      </w:tr>
      <w:tr w:rsidR="00924C6D" w:rsidRPr="00C8275B" w14:paraId="4490E2E0"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0AD08587"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Diferencias permanentes</w:t>
            </w:r>
          </w:p>
        </w:tc>
        <w:tc>
          <w:tcPr>
            <w:tcW w:w="483" w:type="pct"/>
            <w:tcBorders>
              <w:top w:val="nil"/>
              <w:left w:val="nil"/>
              <w:bottom w:val="nil"/>
              <w:right w:val="nil"/>
            </w:tcBorders>
            <w:shd w:val="clear" w:color="auto" w:fill="FFFFFF" w:themeFill="background1"/>
            <w:vAlign w:val="center"/>
            <w:hideMark/>
          </w:tcPr>
          <w:p w14:paraId="7C9F4369"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64.636,00</w:t>
            </w:r>
          </w:p>
        </w:tc>
        <w:tc>
          <w:tcPr>
            <w:tcW w:w="634" w:type="pct"/>
            <w:tcBorders>
              <w:top w:val="nil"/>
              <w:left w:val="nil"/>
              <w:bottom w:val="nil"/>
              <w:right w:val="nil"/>
            </w:tcBorders>
            <w:shd w:val="clear" w:color="auto" w:fill="FFFFFF" w:themeFill="background1"/>
            <w:vAlign w:val="center"/>
            <w:hideMark/>
          </w:tcPr>
          <w:p w14:paraId="04EA1C44" w14:textId="77777777" w:rsidR="00924C6D" w:rsidRPr="00C8275B" w:rsidRDefault="00924C6D" w:rsidP="00682699">
            <w:pPr>
              <w:rPr>
                <w:rFonts w:ascii="Times New Roman" w:hAnsi="Times New Roman" w:cs="Times New Roman"/>
                <w:sz w:val="22"/>
                <w:szCs w:val="22"/>
              </w:rPr>
            </w:pPr>
          </w:p>
        </w:tc>
        <w:tc>
          <w:tcPr>
            <w:tcW w:w="635" w:type="pct"/>
            <w:tcBorders>
              <w:top w:val="nil"/>
              <w:left w:val="nil"/>
              <w:bottom w:val="nil"/>
              <w:right w:val="nil"/>
            </w:tcBorders>
            <w:shd w:val="clear" w:color="auto" w:fill="FFFFFF" w:themeFill="background1"/>
            <w:vAlign w:val="center"/>
            <w:hideMark/>
          </w:tcPr>
          <w:p w14:paraId="244B1FC4"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97.200,19</w:t>
            </w:r>
          </w:p>
        </w:tc>
        <w:tc>
          <w:tcPr>
            <w:tcW w:w="649" w:type="pct"/>
            <w:tcBorders>
              <w:top w:val="nil"/>
              <w:left w:val="nil"/>
              <w:bottom w:val="nil"/>
              <w:right w:val="nil"/>
            </w:tcBorders>
            <w:shd w:val="clear" w:color="auto" w:fill="FFFFFF" w:themeFill="background1"/>
            <w:vAlign w:val="center"/>
            <w:hideMark/>
          </w:tcPr>
          <w:p w14:paraId="710E6B7B"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513E4040"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C33A6BF" w14:textId="77777777" w:rsidR="00924C6D" w:rsidRPr="00C8275B" w:rsidRDefault="00924C6D" w:rsidP="00682699">
            <w:pPr>
              <w:rPr>
                <w:rFonts w:ascii="Times New Roman" w:hAnsi="Times New Roman" w:cs="Times New Roman"/>
                <w:sz w:val="22"/>
                <w:szCs w:val="22"/>
              </w:rPr>
            </w:pPr>
          </w:p>
        </w:tc>
      </w:tr>
      <w:tr w:rsidR="00924C6D" w:rsidRPr="00C8275B" w14:paraId="1C423B4D"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055C7E06"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Diferencias temporarias:</w:t>
            </w:r>
          </w:p>
        </w:tc>
        <w:tc>
          <w:tcPr>
            <w:tcW w:w="483" w:type="pct"/>
            <w:tcBorders>
              <w:top w:val="nil"/>
              <w:left w:val="nil"/>
              <w:bottom w:val="nil"/>
              <w:right w:val="nil"/>
            </w:tcBorders>
            <w:shd w:val="clear" w:color="auto" w:fill="FFFFFF" w:themeFill="background1"/>
            <w:vAlign w:val="center"/>
            <w:hideMark/>
          </w:tcPr>
          <w:p w14:paraId="485B6D11"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76740A8D"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nil"/>
              <w:left w:val="nil"/>
              <w:bottom w:val="nil"/>
              <w:right w:val="nil"/>
            </w:tcBorders>
            <w:shd w:val="clear" w:color="auto" w:fill="FFFFFF" w:themeFill="background1"/>
            <w:vAlign w:val="center"/>
            <w:hideMark/>
          </w:tcPr>
          <w:p w14:paraId="5CC5BA35"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28856E2E"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21E095E8"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3FE3ABCA" w14:textId="77777777" w:rsidR="00924C6D" w:rsidRPr="00C8275B" w:rsidRDefault="00924C6D" w:rsidP="00682699">
            <w:pPr>
              <w:rPr>
                <w:rFonts w:ascii="Times New Roman" w:hAnsi="Times New Roman" w:cs="Times New Roman"/>
                <w:sz w:val="22"/>
                <w:szCs w:val="22"/>
              </w:rPr>
            </w:pPr>
          </w:p>
        </w:tc>
      </w:tr>
      <w:tr w:rsidR="00924C6D" w:rsidRPr="00C8275B" w14:paraId="6ADDFC28"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33E9C76C"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-con origen en el ejercicio</w:t>
            </w:r>
          </w:p>
        </w:tc>
        <w:tc>
          <w:tcPr>
            <w:tcW w:w="483" w:type="pct"/>
            <w:tcBorders>
              <w:top w:val="nil"/>
              <w:left w:val="nil"/>
              <w:bottom w:val="nil"/>
              <w:right w:val="nil"/>
            </w:tcBorders>
            <w:shd w:val="clear" w:color="auto" w:fill="FFFFFF" w:themeFill="background1"/>
            <w:vAlign w:val="center"/>
            <w:hideMark/>
          </w:tcPr>
          <w:p w14:paraId="2A945AE5"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186FC2CF" w14:textId="77777777" w:rsidR="00924C6D" w:rsidRPr="00C8275B" w:rsidRDefault="00924C6D" w:rsidP="00682699">
            <w:pPr>
              <w:rPr>
                <w:rFonts w:ascii="Times New Roman" w:hAnsi="Times New Roman" w:cs="Times New Roman"/>
                <w:sz w:val="22"/>
                <w:szCs w:val="22"/>
              </w:rPr>
            </w:pPr>
          </w:p>
        </w:tc>
        <w:tc>
          <w:tcPr>
            <w:tcW w:w="635" w:type="pct"/>
            <w:tcBorders>
              <w:top w:val="nil"/>
              <w:left w:val="nil"/>
              <w:bottom w:val="nil"/>
              <w:right w:val="nil"/>
            </w:tcBorders>
            <w:shd w:val="clear" w:color="auto" w:fill="FFFFFF" w:themeFill="background1"/>
            <w:vAlign w:val="center"/>
            <w:hideMark/>
          </w:tcPr>
          <w:p w14:paraId="12913AD8"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688B3A6C"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04D25CA"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6AAF8714" w14:textId="77777777" w:rsidR="00924C6D" w:rsidRPr="00C8275B" w:rsidRDefault="00924C6D" w:rsidP="00682699">
            <w:pPr>
              <w:rPr>
                <w:rFonts w:ascii="Times New Roman" w:hAnsi="Times New Roman" w:cs="Times New Roman"/>
                <w:sz w:val="22"/>
                <w:szCs w:val="22"/>
              </w:rPr>
            </w:pPr>
          </w:p>
        </w:tc>
      </w:tr>
      <w:tr w:rsidR="00924C6D" w:rsidRPr="00C8275B" w14:paraId="7604C688" w14:textId="77777777" w:rsidTr="00414010">
        <w:trPr>
          <w:trHeight w:hRule="exact" w:val="247"/>
          <w:jc w:val="right"/>
        </w:trPr>
        <w:tc>
          <w:tcPr>
            <w:tcW w:w="1626" w:type="pct"/>
            <w:tcBorders>
              <w:top w:val="nil"/>
              <w:left w:val="nil"/>
              <w:bottom w:val="nil"/>
              <w:right w:val="nil"/>
            </w:tcBorders>
            <w:shd w:val="clear" w:color="auto" w:fill="FFFFFF" w:themeFill="background1"/>
            <w:vAlign w:val="center"/>
            <w:hideMark/>
          </w:tcPr>
          <w:p w14:paraId="611F67F7"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 xml:space="preserve">-con origen en </w:t>
            </w:r>
            <w:proofErr w:type="spellStart"/>
            <w:r w:rsidRPr="00C8275B">
              <w:rPr>
                <w:rFonts w:ascii="Times New Roman" w:hAnsi="Times New Roman" w:cs="Times New Roman"/>
                <w:sz w:val="16"/>
                <w:szCs w:val="16"/>
              </w:rPr>
              <w:t>ejer</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anter</w:t>
            </w:r>
            <w:proofErr w:type="spellEnd"/>
            <w:r w:rsidRPr="00C8275B">
              <w:rPr>
                <w:rFonts w:ascii="Times New Roman" w:hAnsi="Times New Roman" w:cs="Times New Roman"/>
                <w:sz w:val="16"/>
                <w:szCs w:val="16"/>
              </w:rPr>
              <w:t>.</w:t>
            </w:r>
          </w:p>
        </w:tc>
        <w:tc>
          <w:tcPr>
            <w:tcW w:w="483" w:type="pct"/>
            <w:tcBorders>
              <w:top w:val="nil"/>
              <w:left w:val="nil"/>
              <w:bottom w:val="nil"/>
              <w:right w:val="nil"/>
            </w:tcBorders>
            <w:shd w:val="clear" w:color="auto" w:fill="FFFFFF" w:themeFill="background1"/>
            <w:vAlign w:val="center"/>
            <w:hideMark/>
          </w:tcPr>
          <w:p w14:paraId="0CE45C0E" w14:textId="77777777" w:rsidR="00924C6D" w:rsidRPr="00C8275B" w:rsidRDefault="00924C6D" w:rsidP="00682699">
            <w:pPr>
              <w:rPr>
                <w:rFonts w:ascii="Times New Roman" w:hAnsi="Times New Roman" w:cs="Times New Roman"/>
                <w:sz w:val="22"/>
                <w:szCs w:val="22"/>
              </w:rPr>
            </w:pPr>
          </w:p>
        </w:tc>
        <w:tc>
          <w:tcPr>
            <w:tcW w:w="634" w:type="pct"/>
            <w:tcBorders>
              <w:top w:val="nil"/>
              <w:left w:val="nil"/>
              <w:bottom w:val="nil"/>
              <w:right w:val="nil"/>
            </w:tcBorders>
            <w:shd w:val="clear" w:color="auto" w:fill="FFFFFF" w:themeFill="background1"/>
            <w:vAlign w:val="center"/>
            <w:hideMark/>
          </w:tcPr>
          <w:p w14:paraId="2FAC3916"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35" w:type="pct"/>
            <w:tcBorders>
              <w:top w:val="nil"/>
              <w:left w:val="nil"/>
              <w:bottom w:val="nil"/>
              <w:right w:val="nil"/>
            </w:tcBorders>
            <w:shd w:val="clear" w:color="auto" w:fill="FFFFFF" w:themeFill="background1"/>
            <w:vAlign w:val="center"/>
            <w:hideMark/>
          </w:tcPr>
          <w:p w14:paraId="7D16DD13" w14:textId="77777777" w:rsidR="00924C6D" w:rsidRPr="00C8275B" w:rsidRDefault="00924C6D" w:rsidP="00682699">
            <w:pPr>
              <w:jc w:val="right"/>
              <w:rPr>
                <w:rFonts w:ascii="Times New Roman" w:hAnsi="Times New Roman" w:cs="Times New Roman"/>
                <w:sz w:val="18"/>
                <w:szCs w:val="18"/>
              </w:rPr>
            </w:pPr>
            <w:r w:rsidRPr="00C8275B">
              <w:rPr>
                <w:rFonts w:ascii="Times New Roman" w:hAnsi="Times New Roman" w:cs="Times New Roman"/>
                <w:sz w:val="18"/>
                <w:szCs w:val="18"/>
              </w:rPr>
              <w:t>0,00</w:t>
            </w:r>
          </w:p>
        </w:tc>
        <w:tc>
          <w:tcPr>
            <w:tcW w:w="649" w:type="pct"/>
            <w:tcBorders>
              <w:top w:val="nil"/>
              <w:left w:val="nil"/>
              <w:bottom w:val="nil"/>
              <w:right w:val="nil"/>
            </w:tcBorders>
            <w:shd w:val="clear" w:color="auto" w:fill="FFFFFF" w:themeFill="background1"/>
            <w:vAlign w:val="center"/>
            <w:hideMark/>
          </w:tcPr>
          <w:p w14:paraId="712C2B2B" w14:textId="77777777" w:rsidR="00924C6D" w:rsidRPr="00C8275B" w:rsidRDefault="00924C6D" w:rsidP="00682699">
            <w:pPr>
              <w:rPr>
                <w:rFonts w:ascii="Times New Roman" w:hAnsi="Times New Roman" w:cs="Times New Roman"/>
                <w:sz w:val="22"/>
                <w:szCs w:val="22"/>
              </w:rPr>
            </w:pPr>
          </w:p>
        </w:tc>
        <w:tc>
          <w:tcPr>
            <w:tcW w:w="403" w:type="pct"/>
            <w:tcBorders>
              <w:top w:val="nil"/>
              <w:left w:val="nil"/>
              <w:bottom w:val="nil"/>
              <w:right w:val="nil"/>
            </w:tcBorders>
            <w:shd w:val="clear" w:color="auto" w:fill="FFFFFF" w:themeFill="background1"/>
            <w:vAlign w:val="center"/>
            <w:hideMark/>
          </w:tcPr>
          <w:p w14:paraId="468107D5" w14:textId="77777777" w:rsidR="00924C6D" w:rsidRPr="00C8275B" w:rsidRDefault="00924C6D" w:rsidP="00682699">
            <w:pPr>
              <w:rPr>
                <w:rFonts w:ascii="Times New Roman" w:hAnsi="Times New Roman" w:cs="Times New Roman"/>
                <w:sz w:val="22"/>
                <w:szCs w:val="22"/>
              </w:rPr>
            </w:pPr>
          </w:p>
        </w:tc>
        <w:tc>
          <w:tcPr>
            <w:tcW w:w="570" w:type="pct"/>
            <w:tcBorders>
              <w:top w:val="nil"/>
              <w:left w:val="nil"/>
              <w:bottom w:val="nil"/>
              <w:right w:val="nil"/>
            </w:tcBorders>
            <w:shd w:val="clear" w:color="auto" w:fill="FFFFFF" w:themeFill="background1"/>
            <w:vAlign w:val="center"/>
            <w:hideMark/>
          </w:tcPr>
          <w:p w14:paraId="5F164FEB" w14:textId="77777777" w:rsidR="00924C6D" w:rsidRPr="00C8275B" w:rsidRDefault="00924C6D" w:rsidP="00682699">
            <w:pPr>
              <w:rPr>
                <w:rFonts w:ascii="Times New Roman" w:hAnsi="Times New Roman" w:cs="Times New Roman"/>
                <w:sz w:val="22"/>
                <w:szCs w:val="22"/>
              </w:rPr>
            </w:pPr>
          </w:p>
        </w:tc>
      </w:tr>
      <w:tr w:rsidR="00924C6D" w:rsidRPr="00C8275B" w14:paraId="0451D6D1" w14:textId="77777777" w:rsidTr="00414010">
        <w:trPr>
          <w:trHeight w:hRule="exact" w:val="247"/>
          <w:jc w:val="right"/>
        </w:trPr>
        <w:tc>
          <w:tcPr>
            <w:tcW w:w="1626" w:type="pct"/>
            <w:tcBorders>
              <w:top w:val="nil"/>
              <w:left w:val="nil"/>
              <w:bottom w:val="single" w:sz="4" w:space="0" w:color="auto"/>
              <w:right w:val="nil"/>
            </w:tcBorders>
            <w:shd w:val="clear" w:color="auto" w:fill="FFFFFF" w:themeFill="background1"/>
            <w:vAlign w:val="center"/>
            <w:hideMark/>
          </w:tcPr>
          <w:p w14:paraId="30413948" w14:textId="77777777" w:rsidR="00924C6D" w:rsidRPr="00C8275B" w:rsidRDefault="00924C6D" w:rsidP="001F4723">
            <w:pPr>
              <w:rPr>
                <w:rFonts w:ascii="Times New Roman" w:hAnsi="Times New Roman" w:cs="Times New Roman"/>
                <w:sz w:val="16"/>
                <w:szCs w:val="16"/>
              </w:rPr>
            </w:pPr>
            <w:r w:rsidRPr="00C8275B">
              <w:rPr>
                <w:rFonts w:ascii="Times New Roman" w:hAnsi="Times New Roman" w:cs="Times New Roman"/>
                <w:sz w:val="16"/>
                <w:szCs w:val="16"/>
              </w:rPr>
              <w:t xml:space="preserve">Compensación BI </w:t>
            </w:r>
            <w:proofErr w:type="spellStart"/>
            <w:r w:rsidRPr="00C8275B">
              <w:rPr>
                <w:rFonts w:ascii="Times New Roman" w:hAnsi="Times New Roman" w:cs="Times New Roman"/>
                <w:sz w:val="16"/>
                <w:szCs w:val="16"/>
              </w:rPr>
              <w:t>negat</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ejer</w:t>
            </w:r>
            <w:proofErr w:type="spellEnd"/>
            <w:r w:rsidRPr="00C8275B">
              <w:rPr>
                <w:rFonts w:ascii="Times New Roman" w:hAnsi="Times New Roman" w:cs="Times New Roman"/>
                <w:sz w:val="16"/>
                <w:szCs w:val="16"/>
              </w:rPr>
              <w:t xml:space="preserve">. </w:t>
            </w:r>
            <w:proofErr w:type="spellStart"/>
            <w:r w:rsidRPr="00C8275B">
              <w:rPr>
                <w:rFonts w:ascii="Times New Roman" w:hAnsi="Times New Roman" w:cs="Times New Roman"/>
                <w:sz w:val="16"/>
                <w:szCs w:val="16"/>
              </w:rPr>
              <w:t>anter</w:t>
            </w:r>
            <w:proofErr w:type="spellEnd"/>
            <w:r w:rsidRPr="00C8275B">
              <w:rPr>
                <w:rFonts w:ascii="Times New Roman" w:hAnsi="Times New Roman" w:cs="Times New Roman"/>
                <w:sz w:val="16"/>
                <w:szCs w:val="16"/>
              </w:rPr>
              <w:t>.</w:t>
            </w:r>
          </w:p>
        </w:tc>
        <w:tc>
          <w:tcPr>
            <w:tcW w:w="3374" w:type="pct"/>
            <w:gridSpan w:val="6"/>
            <w:tcBorders>
              <w:top w:val="nil"/>
              <w:left w:val="nil"/>
              <w:bottom w:val="single" w:sz="4" w:space="0" w:color="auto"/>
              <w:right w:val="nil"/>
            </w:tcBorders>
            <w:shd w:val="clear" w:color="auto" w:fill="FFFFFF" w:themeFill="background1"/>
            <w:vAlign w:val="center"/>
            <w:hideMark/>
          </w:tcPr>
          <w:p w14:paraId="513F4BF5" w14:textId="77777777" w:rsidR="00924C6D" w:rsidRPr="00C8275B" w:rsidRDefault="00924C6D" w:rsidP="00682699">
            <w:pPr>
              <w:rPr>
                <w:rFonts w:ascii="Times New Roman" w:hAnsi="Times New Roman" w:cs="Times New Roman"/>
                <w:sz w:val="18"/>
                <w:szCs w:val="18"/>
              </w:rPr>
            </w:pPr>
            <w:r w:rsidRPr="00C8275B">
              <w:rPr>
                <w:rFonts w:ascii="Times New Roman" w:hAnsi="Times New Roman" w:cs="Times New Roman"/>
                <w:sz w:val="18"/>
                <w:szCs w:val="18"/>
              </w:rPr>
              <w:t xml:space="preserve">                                                     -97.200,19</w:t>
            </w:r>
          </w:p>
        </w:tc>
      </w:tr>
      <w:tr w:rsidR="00530B58" w:rsidRPr="00C8275B" w14:paraId="77E82DAC" w14:textId="77777777" w:rsidTr="00414010">
        <w:trPr>
          <w:trHeight w:val="273"/>
          <w:jc w:val="right"/>
        </w:trPr>
        <w:tc>
          <w:tcPr>
            <w:tcW w:w="1626" w:type="pct"/>
            <w:tcBorders>
              <w:top w:val="single" w:sz="4" w:space="0" w:color="auto"/>
              <w:left w:val="nil"/>
              <w:bottom w:val="single" w:sz="4" w:space="0" w:color="auto"/>
              <w:right w:val="nil"/>
            </w:tcBorders>
            <w:shd w:val="clear" w:color="auto" w:fill="FFFFFF" w:themeFill="background1"/>
            <w:vAlign w:val="center"/>
            <w:hideMark/>
          </w:tcPr>
          <w:p w14:paraId="52AAB71D" w14:textId="77777777" w:rsidR="00530B58" w:rsidRPr="00C8275B" w:rsidRDefault="00530B58" w:rsidP="001F4723">
            <w:pPr>
              <w:rPr>
                <w:rFonts w:ascii="Times New Roman" w:hAnsi="Times New Roman" w:cs="Times New Roman"/>
                <w:sz w:val="16"/>
                <w:szCs w:val="16"/>
              </w:rPr>
            </w:pPr>
            <w:r w:rsidRPr="00C8275B">
              <w:rPr>
                <w:rFonts w:ascii="Times New Roman" w:hAnsi="Times New Roman" w:cs="Times New Roman"/>
                <w:sz w:val="16"/>
                <w:szCs w:val="16"/>
              </w:rPr>
              <w:t>Base imponible (</w:t>
            </w:r>
            <w:proofErr w:type="spellStart"/>
            <w:r w:rsidRPr="00C8275B">
              <w:rPr>
                <w:rFonts w:ascii="Times New Roman" w:hAnsi="Times New Roman" w:cs="Times New Roman"/>
                <w:sz w:val="16"/>
                <w:szCs w:val="16"/>
              </w:rPr>
              <w:t>rtdo</w:t>
            </w:r>
            <w:proofErr w:type="spellEnd"/>
            <w:r w:rsidRPr="00C8275B">
              <w:rPr>
                <w:rFonts w:ascii="Times New Roman" w:hAnsi="Times New Roman" w:cs="Times New Roman"/>
                <w:sz w:val="16"/>
                <w:szCs w:val="16"/>
              </w:rPr>
              <w:t>. fiscal)</w:t>
            </w:r>
          </w:p>
        </w:tc>
        <w:tc>
          <w:tcPr>
            <w:tcW w:w="3374" w:type="pct"/>
            <w:gridSpan w:val="6"/>
            <w:tcBorders>
              <w:top w:val="single" w:sz="4" w:space="0" w:color="auto"/>
              <w:left w:val="nil"/>
              <w:bottom w:val="single" w:sz="4" w:space="0" w:color="auto"/>
              <w:right w:val="nil"/>
            </w:tcBorders>
            <w:shd w:val="clear" w:color="auto" w:fill="FFFFFF" w:themeFill="background1"/>
            <w:vAlign w:val="center"/>
            <w:hideMark/>
          </w:tcPr>
          <w:p w14:paraId="7A3FAD4C" w14:textId="7E5AF3CF" w:rsidR="00530B58" w:rsidRPr="00C8275B" w:rsidRDefault="004223AE" w:rsidP="004223AE">
            <w:pPr>
              <w:rPr>
                <w:rFonts w:ascii="Times New Roman" w:hAnsi="Times New Roman" w:cs="Times New Roman"/>
                <w:sz w:val="18"/>
                <w:szCs w:val="18"/>
              </w:rPr>
            </w:pPr>
            <w:r w:rsidRPr="00C8275B">
              <w:rPr>
                <w:rFonts w:ascii="Times New Roman" w:hAnsi="Times New Roman" w:cs="Times New Roman"/>
                <w:sz w:val="18"/>
                <w:szCs w:val="18"/>
              </w:rPr>
              <w:t xml:space="preserve">                                                          </w:t>
            </w:r>
            <w:r w:rsidR="00731232">
              <w:rPr>
                <w:rFonts w:ascii="Times New Roman" w:hAnsi="Times New Roman" w:cs="Times New Roman"/>
                <w:sz w:val="18"/>
                <w:szCs w:val="18"/>
              </w:rPr>
              <w:t xml:space="preserve"> </w:t>
            </w:r>
            <w:r w:rsidR="00530B58" w:rsidRPr="00C8275B">
              <w:rPr>
                <w:rFonts w:ascii="Times New Roman" w:hAnsi="Times New Roman" w:cs="Times New Roman"/>
                <w:sz w:val="18"/>
                <w:szCs w:val="18"/>
              </w:rPr>
              <w:t>0,00</w:t>
            </w:r>
          </w:p>
        </w:tc>
      </w:tr>
    </w:tbl>
    <w:p w14:paraId="212D236F" w14:textId="77777777" w:rsidR="000B5AF8" w:rsidRPr="00C8275B" w:rsidRDefault="000B5AF8" w:rsidP="000B5AF8">
      <w:pPr>
        <w:pStyle w:val="Default"/>
        <w:ind w:right="-284"/>
        <w:rPr>
          <w:rFonts w:ascii="Times New Roman" w:hAnsi="Times New Roman" w:cs="Times New Roman"/>
          <w:b/>
          <w:color w:val="0000FF"/>
          <w:sz w:val="20"/>
          <w:szCs w:val="20"/>
          <w:highlight w:val="yellow"/>
          <w:u w:val="single"/>
        </w:rPr>
      </w:pPr>
    </w:p>
    <w:p w14:paraId="5BB52E37" w14:textId="77777777" w:rsidR="00205A13" w:rsidRPr="00C8275B" w:rsidRDefault="00205A13" w:rsidP="000B5AF8">
      <w:pPr>
        <w:pStyle w:val="Default"/>
        <w:ind w:right="-284"/>
        <w:rPr>
          <w:rFonts w:ascii="Times New Roman" w:hAnsi="Times New Roman" w:cs="Times New Roman"/>
          <w:b/>
          <w:color w:val="0000FF"/>
          <w:sz w:val="20"/>
          <w:szCs w:val="20"/>
          <w:highlight w:val="yellow"/>
          <w:u w:val="single"/>
        </w:rPr>
      </w:pPr>
    </w:p>
    <w:p w14:paraId="2E0E6E11" w14:textId="77777777" w:rsidR="000B5AF8" w:rsidRPr="00C8275B" w:rsidRDefault="000B5AF8" w:rsidP="000B5AF8">
      <w:pPr>
        <w:shd w:val="clear" w:color="auto" w:fill="FFFFFF"/>
        <w:ind w:firstLine="709"/>
        <w:jc w:val="both"/>
        <w:rPr>
          <w:rFonts w:ascii="Times New Roman" w:hAnsi="Times New Roman" w:cs="Times New Roman"/>
          <w:b/>
          <w:sz w:val="22"/>
          <w:szCs w:val="22"/>
          <w:u w:val="single"/>
        </w:rPr>
      </w:pPr>
      <w:r w:rsidRPr="00C8275B">
        <w:rPr>
          <w:rFonts w:ascii="Times New Roman" w:hAnsi="Times New Roman" w:cs="Times New Roman"/>
          <w:b/>
          <w:sz w:val="22"/>
          <w:szCs w:val="22"/>
          <w:u w:val="single"/>
        </w:rPr>
        <w:t>Detalle de las diferencias permanentes</w:t>
      </w:r>
    </w:p>
    <w:p w14:paraId="7AA15E09" w14:textId="77777777" w:rsidR="000B5AF8" w:rsidRPr="00C8275B" w:rsidRDefault="000B5AF8" w:rsidP="000B5AF8">
      <w:pPr>
        <w:shd w:val="clear" w:color="auto" w:fill="FFFFFF"/>
        <w:ind w:firstLine="709"/>
        <w:jc w:val="both"/>
        <w:rPr>
          <w:rFonts w:ascii="Times New Roman" w:hAnsi="Times New Roman" w:cs="Times New Roman"/>
          <w:b/>
          <w:sz w:val="22"/>
          <w:szCs w:val="22"/>
          <w:u w:val="single"/>
        </w:rPr>
      </w:pPr>
    </w:p>
    <w:p w14:paraId="1BA173A3" w14:textId="508608F5" w:rsidR="000B5AF8" w:rsidRPr="00C8275B"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 las diferencias permanentes el siguiente: </w:t>
      </w:r>
    </w:p>
    <w:p w14:paraId="1BDDEB24" w14:textId="77777777" w:rsidR="000B5AF8" w:rsidRPr="00C8275B" w:rsidRDefault="000B5AF8" w:rsidP="000B5AF8">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9189" w:type="dxa"/>
        <w:jc w:val="right"/>
        <w:tblCellMar>
          <w:left w:w="70" w:type="dxa"/>
          <w:right w:w="70" w:type="dxa"/>
        </w:tblCellMar>
        <w:tblLook w:val="04A0" w:firstRow="1" w:lastRow="0" w:firstColumn="1" w:lastColumn="0" w:noHBand="0" w:noVBand="1"/>
      </w:tblPr>
      <w:tblGrid>
        <w:gridCol w:w="4487"/>
        <w:gridCol w:w="981"/>
        <w:gridCol w:w="1370"/>
        <w:gridCol w:w="981"/>
        <w:gridCol w:w="1370"/>
      </w:tblGrid>
      <w:tr w:rsidR="006A0CD9" w:rsidRPr="006A0CD9" w14:paraId="396DFFA3" w14:textId="77777777" w:rsidTr="00414010">
        <w:trPr>
          <w:trHeight w:val="357"/>
          <w:jc w:val="right"/>
        </w:trPr>
        <w:tc>
          <w:tcPr>
            <w:tcW w:w="4487" w:type="dxa"/>
            <w:tcBorders>
              <w:top w:val="single" w:sz="4" w:space="0" w:color="auto"/>
              <w:left w:val="nil"/>
              <w:bottom w:val="single" w:sz="4" w:space="0" w:color="auto"/>
              <w:right w:val="nil"/>
            </w:tcBorders>
            <w:shd w:val="clear" w:color="auto" w:fill="FFFFFF" w:themeFill="background1"/>
            <w:vAlign w:val="center"/>
            <w:hideMark/>
          </w:tcPr>
          <w:p w14:paraId="2B927D06" w14:textId="77777777" w:rsidR="006E33CB" w:rsidRPr="006A0CD9" w:rsidRDefault="006E33CB" w:rsidP="00071DEA">
            <w:pPr>
              <w:jc w:val="center"/>
              <w:rPr>
                <w:rFonts w:ascii="Times New Roman" w:hAnsi="Times New Roman" w:cs="Times New Roman"/>
                <w:b/>
                <w:bCs/>
                <w:sz w:val="18"/>
                <w:szCs w:val="18"/>
              </w:rPr>
            </w:pPr>
            <w:r w:rsidRPr="006A0CD9">
              <w:rPr>
                <w:rFonts w:ascii="Times New Roman" w:hAnsi="Times New Roman" w:cs="Times New Roman"/>
                <w:b/>
                <w:bCs/>
                <w:sz w:val="18"/>
                <w:szCs w:val="18"/>
              </w:rPr>
              <w:t> </w:t>
            </w:r>
          </w:p>
        </w:tc>
        <w:tc>
          <w:tcPr>
            <w:tcW w:w="981" w:type="dxa"/>
            <w:tcBorders>
              <w:top w:val="single" w:sz="4" w:space="0" w:color="auto"/>
              <w:left w:val="nil"/>
              <w:bottom w:val="single" w:sz="4" w:space="0" w:color="auto"/>
              <w:right w:val="nil"/>
            </w:tcBorders>
            <w:shd w:val="clear" w:color="auto" w:fill="FFFFFF" w:themeFill="background1"/>
            <w:vAlign w:val="center"/>
            <w:hideMark/>
          </w:tcPr>
          <w:p w14:paraId="2DD32AD2" w14:textId="2DFD28E8"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Aumentos </w:t>
            </w:r>
            <w:r w:rsidR="003264E4" w:rsidRPr="006A0CD9">
              <w:rPr>
                <w:rFonts w:ascii="Times New Roman" w:hAnsi="Times New Roman" w:cs="Times New Roman"/>
                <w:b/>
                <w:bCs/>
                <w:sz w:val="18"/>
                <w:szCs w:val="18"/>
              </w:rPr>
              <w:t>2022</w:t>
            </w:r>
          </w:p>
        </w:tc>
        <w:tc>
          <w:tcPr>
            <w:tcW w:w="1370" w:type="dxa"/>
            <w:tcBorders>
              <w:top w:val="single" w:sz="4" w:space="0" w:color="auto"/>
              <w:left w:val="nil"/>
              <w:bottom w:val="single" w:sz="4" w:space="0" w:color="auto"/>
              <w:right w:val="nil"/>
            </w:tcBorders>
            <w:shd w:val="clear" w:color="auto" w:fill="FFFFFF" w:themeFill="background1"/>
            <w:vAlign w:val="center"/>
            <w:hideMark/>
          </w:tcPr>
          <w:p w14:paraId="191E7363" w14:textId="26999651"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Disminuciones </w:t>
            </w:r>
            <w:r w:rsidR="003264E4" w:rsidRPr="006A0CD9">
              <w:rPr>
                <w:rFonts w:ascii="Times New Roman" w:hAnsi="Times New Roman" w:cs="Times New Roman"/>
                <w:b/>
                <w:bCs/>
                <w:sz w:val="18"/>
                <w:szCs w:val="18"/>
              </w:rPr>
              <w:t>2022</w:t>
            </w:r>
          </w:p>
        </w:tc>
        <w:tc>
          <w:tcPr>
            <w:tcW w:w="981" w:type="dxa"/>
            <w:tcBorders>
              <w:top w:val="single" w:sz="4" w:space="0" w:color="auto"/>
              <w:left w:val="nil"/>
              <w:bottom w:val="single" w:sz="4" w:space="0" w:color="auto"/>
              <w:right w:val="nil"/>
            </w:tcBorders>
            <w:shd w:val="clear" w:color="auto" w:fill="FFFFFF" w:themeFill="background1"/>
            <w:vAlign w:val="center"/>
            <w:hideMark/>
          </w:tcPr>
          <w:p w14:paraId="403D602D" w14:textId="7ED9D6C8"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Aumentos </w:t>
            </w:r>
            <w:r w:rsidR="003264E4" w:rsidRPr="006A0CD9">
              <w:rPr>
                <w:rFonts w:ascii="Times New Roman" w:hAnsi="Times New Roman" w:cs="Times New Roman"/>
                <w:b/>
                <w:bCs/>
                <w:sz w:val="18"/>
                <w:szCs w:val="18"/>
              </w:rPr>
              <w:t>2021</w:t>
            </w:r>
          </w:p>
        </w:tc>
        <w:tc>
          <w:tcPr>
            <w:tcW w:w="1370" w:type="dxa"/>
            <w:tcBorders>
              <w:top w:val="single" w:sz="4" w:space="0" w:color="auto"/>
              <w:left w:val="nil"/>
              <w:bottom w:val="single" w:sz="4" w:space="0" w:color="auto"/>
              <w:right w:val="nil"/>
            </w:tcBorders>
            <w:shd w:val="clear" w:color="auto" w:fill="FFFFFF" w:themeFill="background1"/>
            <w:vAlign w:val="center"/>
            <w:hideMark/>
          </w:tcPr>
          <w:p w14:paraId="0D9F7591" w14:textId="77777777" w:rsidR="006E33CB" w:rsidRPr="006A0CD9" w:rsidRDefault="006E33CB" w:rsidP="003264E4">
            <w:pPr>
              <w:jc w:val="center"/>
              <w:rPr>
                <w:rFonts w:ascii="Times New Roman" w:hAnsi="Times New Roman" w:cs="Times New Roman"/>
                <w:b/>
                <w:bCs/>
                <w:sz w:val="18"/>
                <w:szCs w:val="18"/>
              </w:rPr>
            </w:pPr>
            <w:r w:rsidRPr="006A0CD9">
              <w:rPr>
                <w:rFonts w:ascii="Times New Roman" w:hAnsi="Times New Roman" w:cs="Times New Roman"/>
                <w:b/>
                <w:bCs/>
                <w:sz w:val="18"/>
                <w:szCs w:val="18"/>
              </w:rPr>
              <w:t xml:space="preserve">Disminuciones </w:t>
            </w:r>
            <w:r w:rsidR="003264E4" w:rsidRPr="006A0CD9">
              <w:rPr>
                <w:rFonts w:ascii="Times New Roman" w:hAnsi="Times New Roman" w:cs="Times New Roman"/>
                <w:b/>
                <w:bCs/>
                <w:sz w:val="18"/>
                <w:szCs w:val="18"/>
              </w:rPr>
              <w:t>2021</w:t>
            </w:r>
          </w:p>
        </w:tc>
      </w:tr>
      <w:tr w:rsidR="006A0CD9" w:rsidRPr="006A0CD9" w14:paraId="32F73509" w14:textId="77777777" w:rsidTr="00414010">
        <w:trPr>
          <w:trHeight w:hRule="exact" w:val="265"/>
          <w:jc w:val="right"/>
        </w:trPr>
        <w:tc>
          <w:tcPr>
            <w:tcW w:w="4487" w:type="dxa"/>
            <w:tcBorders>
              <w:top w:val="single" w:sz="4" w:space="0" w:color="auto"/>
              <w:left w:val="nil"/>
              <w:bottom w:val="nil"/>
              <w:right w:val="nil"/>
            </w:tcBorders>
            <w:shd w:val="clear" w:color="auto" w:fill="auto"/>
            <w:vAlign w:val="center"/>
            <w:hideMark/>
          </w:tcPr>
          <w:p w14:paraId="4BF4E063" w14:textId="77777777" w:rsidR="003264E4" w:rsidRPr="006A0CD9" w:rsidRDefault="003264E4" w:rsidP="00071DEA">
            <w:pPr>
              <w:rPr>
                <w:rFonts w:ascii="Times New Roman" w:hAnsi="Times New Roman" w:cs="Times New Roman"/>
                <w:sz w:val="18"/>
                <w:szCs w:val="18"/>
              </w:rPr>
            </w:pPr>
            <w:r w:rsidRPr="006A0CD9">
              <w:rPr>
                <w:rFonts w:ascii="Times New Roman" w:hAnsi="Times New Roman" w:cs="Times New Roman"/>
                <w:sz w:val="18"/>
                <w:szCs w:val="18"/>
              </w:rPr>
              <w:t>Otros gastos no deducibles</w:t>
            </w:r>
          </w:p>
        </w:tc>
        <w:tc>
          <w:tcPr>
            <w:tcW w:w="981" w:type="dxa"/>
            <w:tcBorders>
              <w:top w:val="single" w:sz="4" w:space="0" w:color="auto"/>
              <w:left w:val="nil"/>
              <w:bottom w:val="nil"/>
              <w:right w:val="nil"/>
            </w:tcBorders>
            <w:shd w:val="clear" w:color="auto" w:fill="auto"/>
            <w:vAlign w:val="center"/>
            <w:hideMark/>
          </w:tcPr>
          <w:p w14:paraId="0C511D72" w14:textId="332F854F" w:rsidR="003264E4" w:rsidRPr="006A0CD9" w:rsidRDefault="006A0CD9" w:rsidP="006A0CD9">
            <w:pPr>
              <w:jc w:val="center"/>
              <w:rPr>
                <w:rFonts w:ascii="Times New Roman" w:hAnsi="Times New Roman" w:cs="Times New Roman"/>
                <w:sz w:val="18"/>
                <w:szCs w:val="18"/>
              </w:rPr>
            </w:pPr>
            <w:r w:rsidRPr="006A0CD9">
              <w:rPr>
                <w:rFonts w:ascii="Times New Roman" w:hAnsi="Times New Roman" w:cs="Times New Roman"/>
                <w:sz w:val="18"/>
                <w:szCs w:val="18"/>
              </w:rPr>
              <w:t>1</w:t>
            </w:r>
            <w:r w:rsidR="003264E4" w:rsidRPr="006A0CD9">
              <w:rPr>
                <w:rFonts w:ascii="Times New Roman" w:hAnsi="Times New Roman" w:cs="Times New Roman"/>
                <w:sz w:val="18"/>
                <w:szCs w:val="18"/>
              </w:rPr>
              <w:t>.</w:t>
            </w:r>
            <w:r w:rsidRPr="006A0CD9">
              <w:rPr>
                <w:rFonts w:ascii="Times New Roman" w:hAnsi="Times New Roman" w:cs="Times New Roman"/>
                <w:sz w:val="18"/>
                <w:szCs w:val="18"/>
              </w:rPr>
              <w:t>288</w:t>
            </w:r>
            <w:r w:rsidR="003264E4" w:rsidRPr="006A0CD9">
              <w:rPr>
                <w:rFonts w:ascii="Times New Roman" w:hAnsi="Times New Roman" w:cs="Times New Roman"/>
                <w:sz w:val="18"/>
                <w:szCs w:val="18"/>
              </w:rPr>
              <w:t>,</w:t>
            </w:r>
            <w:r w:rsidRPr="006A0CD9">
              <w:rPr>
                <w:rFonts w:ascii="Times New Roman" w:hAnsi="Times New Roman" w:cs="Times New Roman"/>
                <w:sz w:val="18"/>
                <w:szCs w:val="18"/>
              </w:rPr>
              <w:t>45</w:t>
            </w:r>
          </w:p>
        </w:tc>
        <w:tc>
          <w:tcPr>
            <w:tcW w:w="1370" w:type="dxa"/>
            <w:tcBorders>
              <w:top w:val="single" w:sz="4" w:space="0" w:color="auto"/>
              <w:left w:val="nil"/>
              <w:bottom w:val="nil"/>
              <w:right w:val="nil"/>
            </w:tcBorders>
            <w:shd w:val="clear" w:color="auto" w:fill="auto"/>
            <w:vAlign w:val="center"/>
            <w:hideMark/>
          </w:tcPr>
          <w:p w14:paraId="1EE34BF9" w14:textId="77777777" w:rsidR="003264E4" w:rsidRPr="006A0CD9" w:rsidRDefault="003264E4" w:rsidP="006A0CD9">
            <w:pPr>
              <w:jc w:val="center"/>
              <w:rPr>
                <w:rFonts w:ascii="Times New Roman" w:hAnsi="Times New Roman" w:cs="Times New Roman"/>
                <w:sz w:val="18"/>
                <w:szCs w:val="18"/>
              </w:rPr>
            </w:pPr>
            <w:r w:rsidRPr="006A0CD9">
              <w:rPr>
                <w:rFonts w:ascii="Times New Roman" w:hAnsi="Times New Roman" w:cs="Times New Roman"/>
                <w:sz w:val="18"/>
                <w:szCs w:val="18"/>
              </w:rPr>
              <w:t>0,00</w:t>
            </w:r>
          </w:p>
        </w:tc>
        <w:tc>
          <w:tcPr>
            <w:tcW w:w="981" w:type="dxa"/>
            <w:tcBorders>
              <w:top w:val="single" w:sz="4" w:space="0" w:color="auto"/>
              <w:left w:val="nil"/>
              <w:bottom w:val="nil"/>
              <w:right w:val="nil"/>
            </w:tcBorders>
            <w:shd w:val="clear" w:color="auto" w:fill="auto"/>
            <w:vAlign w:val="center"/>
            <w:hideMark/>
          </w:tcPr>
          <w:p w14:paraId="10E653B8" w14:textId="77777777" w:rsidR="003264E4" w:rsidRPr="006A0CD9" w:rsidRDefault="003264E4" w:rsidP="00682699">
            <w:pPr>
              <w:jc w:val="right"/>
              <w:rPr>
                <w:rFonts w:ascii="Times New Roman" w:hAnsi="Times New Roman" w:cs="Times New Roman"/>
                <w:sz w:val="18"/>
                <w:szCs w:val="18"/>
              </w:rPr>
            </w:pPr>
            <w:r w:rsidRPr="006A0CD9">
              <w:rPr>
                <w:rFonts w:ascii="Times New Roman" w:hAnsi="Times New Roman" w:cs="Times New Roman"/>
                <w:sz w:val="18"/>
                <w:szCs w:val="18"/>
              </w:rPr>
              <w:t>64.636,00</w:t>
            </w:r>
          </w:p>
        </w:tc>
        <w:tc>
          <w:tcPr>
            <w:tcW w:w="1370" w:type="dxa"/>
            <w:tcBorders>
              <w:top w:val="single" w:sz="4" w:space="0" w:color="auto"/>
              <w:left w:val="nil"/>
              <w:bottom w:val="nil"/>
              <w:right w:val="nil"/>
            </w:tcBorders>
            <w:shd w:val="clear" w:color="auto" w:fill="auto"/>
            <w:vAlign w:val="center"/>
            <w:hideMark/>
          </w:tcPr>
          <w:p w14:paraId="6F267F86" w14:textId="77777777" w:rsidR="003264E4" w:rsidRPr="006A0CD9" w:rsidRDefault="003264E4" w:rsidP="006A0CD9">
            <w:pPr>
              <w:jc w:val="center"/>
              <w:rPr>
                <w:rFonts w:ascii="Times New Roman" w:hAnsi="Times New Roman" w:cs="Times New Roman"/>
                <w:sz w:val="18"/>
                <w:szCs w:val="18"/>
              </w:rPr>
            </w:pPr>
            <w:r w:rsidRPr="006A0CD9">
              <w:rPr>
                <w:rFonts w:ascii="Times New Roman" w:hAnsi="Times New Roman" w:cs="Times New Roman"/>
                <w:sz w:val="18"/>
                <w:szCs w:val="18"/>
              </w:rPr>
              <w:t>0,00</w:t>
            </w:r>
          </w:p>
        </w:tc>
      </w:tr>
      <w:tr w:rsidR="006A0CD9" w:rsidRPr="006A0CD9" w14:paraId="271ADA5B" w14:textId="77777777" w:rsidTr="00414010">
        <w:trPr>
          <w:trHeight w:hRule="exact" w:val="265"/>
          <w:jc w:val="right"/>
        </w:trPr>
        <w:tc>
          <w:tcPr>
            <w:tcW w:w="4487" w:type="dxa"/>
            <w:tcBorders>
              <w:top w:val="nil"/>
              <w:left w:val="nil"/>
              <w:bottom w:val="single" w:sz="4" w:space="0" w:color="auto"/>
              <w:right w:val="nil"/>
            </w:tcBorders>
            <w:shd w:val="clear" w:color="auto" w:fill="auto"/>
            <w:vAlign w:val="center"/>
            <w:hideMark/>
          </w:tcPr>
          <w:p w14:paraId="50BA6FC3" w14:textId="77777777" w:rsidR="003264E4" w:rsidRPr="006A0CD9" w:rsidRDefault="003264E4" w:rsidP="00071DEA">
            <w:pPr>
              <w:rPr>
                <w:rFonts w:ascii="Times New Roman" w:hAnsi="Times New Roman" w:cs="Times New Roman"/>
                <w:b/>
                <w:bCs/>
                <w:sz w:val="18"/>
                <w:szCs w:val="18"/>
              </w:rPr>
            </w:pPr>
            <w:r w:rsidRPr="006A0CD9">
              <w:rPr>
                <w:rFonts w:ascii="Times New Roman" w:hAnsi="Times New Roman" w:cs="Times New Roman"/>
                <w:b/>
                <w:bCs/>
                <w:sz w:val="18"/>
                <w:szCs w:val="18"/>
              </w:rPr>
              <w:t>T O T A L</w:t>
            </w:r>
          </w:p>
        </w:tc>
        <w:tc>
          <w:tcPr>
            <w:tcW w:w="981" w:type="dxa"/>
            <w:tcBorders>
              <w:top w:val="nil"/>
              <w:left w:val="nil"/>
              <w:bottom w:val="single" w:sz="4" w:space="0" w:color="auto"/>
              <w:right w:val="nil"/>
            </w:tcBorders>
            <w:shd w:val="clear" w:color="auto" w:fill="auto"/>
            <w:vAlign w:val="center"/>
            <w:hideMark/>
          </w:tcPr>
          <w:p w14:paraId="1B5E6F59" w14:textId="505E6643" w:rsidR="003264E4" w:rsidRPr="006A0CD9" w:rsidRDefault="006A0CD9"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1</w:t>
            </w:r>
            <w:r w:rsidR="003264E4" w:rsidRPr="006A0CD9">
              <w:rPr>
                <w:rFonts w:ascii="Times New Roman" w:hAnsi="Times New Roman" w:cs="Times New Roman"/>
                <w:b/>
                <w:bCs/>
                <w:sz w:val="18"/>
                <w:szCs w:val="18"/>
              </w:rPr>
              <w:t>.</w:t>
            </w:r>
            <w:r w:rsidRPr="006A0CD9">
              <w:rPr>
                <w:rFonts w:ascii="Times New Roman" w:hAnsi="Times New Roman" w:cs="Times New Roman"/>
                <w:b/>
                <w:bCs/>
                <w:sz w:val="18"/>
                <w:szCs w:val="18"/>
              </w:rPr>
              <w:t>288</w:t>
            </w:r>
            <w:r w:rsidR="003264E4" w:rsidRPr="006A0CD9">
              <w:rPr>
                <w:rFonts w:ascii="Times New Roman" w:hAnsi="Times New Roman" w:cs="Times New Roman"/>
                <w:b/>
                <w:bCs/>
                <w:sz w:val="18"/>
                <w:szCs w:val="18"/>
              </w:rPr>
              <w:t>,</w:t>
            </w:r>
            <w:r w:rsidRPr="006A0CD9">
              <w:rPr>
                <w:rFonts w:ascii="Times New Roman" w:hAnsi="Times New Roman" w:cs="Times New Roman"/>
                <w:b/>
                <w:bCs/>
                <w:sz w:val="18"/>
                <w:szCs w:val="18"/>
              </w:rPr>
              <w:t>45</w:t>
            </w:r>
          </w:p>
        </w:tc>
        <w:tc>
          <w:tcPr>
            <w:tcW w:w="1370" w:type="dxa"/>
            <w:tcBorders>
              <w:top w:val="nil"/>
              <w:left w:val="nil"/>
              <w:bottom w:val="single" w:sz="4" w:space="0" w:color="auto"/>
              <w:right w:val="nil"/>
            </w:tcBorders>
            <w:shd w:val="clear" w:color="auto" w:fill="auto"/>
            <w:vAlign w:val="center"/>
            <w:hideMark/>
          </w:tcPr>
          <w:p w14:paraId="10E26534" w14:textId="77777777" w:rsidR="003264E4" w:rsidRPr="006A0CD9" w:rsidRDefault="003264E4"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0,00</w:t>
            </w:r>
          </w:p>
        </w:tc>
        <w:tc>
          <w:tcPr>
            <w:tcW w:w="981" w:type="dxa"/>
            <w:tcBorders>
              <w:top w:val="nil"/>
              <w:left w:val="nil"/>
              <w:bottom w:val="single" w:sz="4" w:space="0" w:color="auto"/>
              <w:right w:val="nil"/>
            </w:tcBorders>
            <w:shd w:val="clear" w:color="auto" w:fill="auto"/>
            <w:vAlign w:val="center"/>
            <w:hideMark/>
          </w:tcPr>
          <w:p w14:paraId="58513463" w14:textId="77777777" w:rsidR="003264E4" w:rsidRPr="006A0CD9" w:rsidRDefault="003264E4" w:rsidP="00682699">
            <w:pPr>
              <w:jc w:val="right"/>
              <w:rPr>
                <w:rFonts w:ascii="Times New Roman" w:hAnsi="Times New Roman" w:cs="Times New Roman"/>
                <w:b/>
                <w:bCs/>
                <w:sz w:val="18"/>
                <w:szCs w:val="18"/>
              </w:rPr>
            </w:pPr>
            <w:r w:rsidRPr="006A0CD9">
              <w:rPr>
                <w:rFonts w:ascii="Times New Roman" w:hAnsi="Times New Roman" w:cs="Times New Roman"/>
                <w:b/>
                <w:bCs/>
                <w:sz w:val="18"/>
                <w:szCs w:val="18"/>
              </w:rPr>
              <w:t>64.636,00</w:t>
            </w:r>
          </w:p>
        </w:tc>
        <w:tc>
          <w:tcPr>
            <w:tcW w:w="1370" w:type="dxa"/>
            <w:tcBorders>
              <w:top w:val="nil"/>
              <w:left w:val="nil"/>
              <w:bottom w:val="single" w:sz="4" w:space="0" w:color="auto"/>
              <w:right w:val="nil"/>
            </w:tcBorders>
            <w:shd w:val="clear" w:color="auto" w:fill="auto"/>
            <w:vAlign w:val="center"/>
            <w:hideMark/>
          </w:tcPr>
          <w:p w14:paraId="3E539228" w14:textId="77777777" w:rsidR="003264E4" w:rsidRPr="006A0CD9" w:rsidRDefault="003264E4" w:rsidP="006A0CD9">
            <w:pPr>
              <w:jc w:val="center"/>
              <w:rPr>
                <w:rFonts w:ascii="Times New Roman" w:hAnsi="Times New Roman" w:cs="Times New Roman"/>
                <w:b/>
                <w:bCs/>
                <w:sz w:val="18"/>
                <w:szCs w:val="18"/>
              </w:rPr>
            </w:pPr>
            <w:r w:rsidRPr="006A0CD9">
              <w:rPr>
                <w:rFonts w:ascii="Times New Roman" w:hAnsi="Times New Roman" w:cs="Times New Roman"/>
                <w:b/>
                <w:bCs/>
                <w:sz w:val="18"/>
                <w:szCs w:val="18"/>
              </w:rPr>
              <w:t>0,00</w:t>
            </w:r>
          </w:p>
        </w:tc>
      </w:tr>
    </w:tbl>
    <w:p w14:paraId="4C379605" w14:textId="77777777" w:rsidR="006E33CB" w:rsidRPr="00C8275B" w:rsidRDefault="006E33CB" w:rsidP="000B5AF8">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41F559C3" w14:textId="77777777" w:rsidR="00071DEA" w:rsidRPr="00033968" w:rsidRDefault="00071DEA" w:rsidP="006E33CB">
      <w:pPr>
        <w:spacing w:line="276" w:lineRule="auto"/>
        <w:jc w:val="both"/>
        <w:rPr>
          <w:rFonts w:ascii="Times New Roman" w:hAnsi="Times New Roman" w:cs="Times New Roman"/>
          <w:highlight w:val="yellow"/>
        </w:rPr>
      </w:pPr>
    </w:p>
    <w:p w14:paraId="7C8152C5" w14:textId="77777777" w:rsidR="006E33CB" w:rsidRPr="00033968" w:rsidRDefault="006E33CB" w:rsidP="006E33CB">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033968">
        <w:rPr>
          <w:rFonts w:ascii="Times New Roman" w:hAnsi="Times New Roman" w:cs="Times New Roman"/>
          <w:b/>
          <w:spacing w:val="-3"/>
          <w:sz w:val="22"/>
          <w:szCs w:val="22"/>
          <w:u w:val="single"/>
          <w:lang w:val="es-ES_tradnl" w:eastAsia="es-ES_tradnl"/>
        </w:rPr>
        <w:t>Detalle de las diferencias temporarias</w:t>
      </w:r>
    </w:p>
    <w:p w14:paraId="085153F8" w14:textId="77777777" w:rsidR="006E33CB" w:rsidRPr="00033968" w:rsidRDefault="006E33CB" w:rsidP="006E33CB">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330F0312" w14:textId="77777777" w:rsidR="006E33CB" w:rsidRPr="00033968" w:rsidRDefault="006E33CB" w:rsidP="006E33CB">
      <w:pPr>
        <w:tabs>
          <w:tab w:val="left" w:pos="-720"/>
        </w:tabs>
        <w:suppressAutoHyphens/>
        <w:ind w:left="709" w:right="-26"/>
        <w:jc w:val="both"/>
        <w:rPr>
          <w:rFonts w:ascii="Times New Roman" w:hAnsi="Times New Roman" w:cs="Times New Roman"/>
          <w:spacing w:val="-3"/>
          <w:sz w:val="22"/>
          <w:szCs w:val="22"/>
          <w:lang w:val="es-ES_tradnl" w:eastAsia="es-ES_tradnl"/>
        </w:rPr>
      </w:pPr>
      <w:r w:rsidRPr="00033968">
        <w:rPr>
          <w:rFonts w:ascii="Times New Roman" w:hAnsi="Times New Roman" w:cs="Times New Roman"/>
          <w:spacing w:val="-3"/>
          <w:sz w:val="22"/>
          <w:szCs w:val="22"/>
          <w:lang w:val="es-ES_tradnl" w:eastAsia="es-ES_tradnl"/>
        </w:rPr>
        <w:t>No existen diferencias temporarias aplicadas en el presente ejercicio</w:t>
      </w:r>
      <w:r w:rsidR="00F754DF" w:rsidRPr="00033968">
        <w:rPr>
          <w:rFonts w:ascii="Times New Roman" w:hAnsi="Times New Roman" w:cs="Times New Roman"/>
          <w:spacing w:val="-3"/>
          <w:sz w:val="22"/>
          <w:szCs w:val="22"/>
          <w:lang w:val="es-ES_tradnl" w:eastAsia="es-ES_tradnl"/>
        </w:rPr>
        <w:t xml:space="preserve">, </w:t>
      </w:r>
      <w:r w:rsidRPr="00033968">
        <w:rPr>
          <w:rFonts w:ascii="Times New Roman" w:hAnsi="Times New Roman" w:cs="Times New Roman"/>
          <w:spacing w:val="-3"/>
          <w:sz w:val="22"/>
          <w:szCs w:val="22"/>
          <w:lang w:val="es-ES_tradnl" w:eastAsia="es-ES_tradnl"/>
        </w:rPr>
        <w:t xml:space="preserve">ni en el anterior. </w:t>
      </w:r>
    </w:p>
    <w:p w14:paraId="61F5A94C" w14:textId="77777777" w:rsidR="006E33CB" w:rsidRPr="00033968" w:rsidRDefault="006E33CB" w:rsidP="006E33CB">
      <w:pPr>
        <w:pStyle w:val="Default"/>
        <w:ind w:right="49"/>
        <w:jc w:val="both"/>
        <w:rPr>
          <w:rFonts w:ascii="Times New Roman" w:hAnsi="Times New Roman" w:cs="Times New Roman"/>
          <w:color w:val="auto"/>
          <w:sz w:val="20"/>
          <w:szCs w:val="20"/>
          <w:highlight w:val="yellow"/>
        </w:rPr>
      </w:pPr>
    </w:p>
    <w:p w14:paraId="286CA7B2" w14:textId="77777777" w:rsidR="00F754DF" w:rsidRPr="00C8275B" w:rsidRDefault="00F754DF" w:rsidP="006E33CB">
      <w:pPr>
        <w:pStyle w:val="Default"/>
        <w:ind w:right="49"/>
        <w:jc w:val="both"/>
        <w:rPr>
          <w:rFonts w:ascii="Times New Roman" w:hAnsi="Times New Roman" w:cs="Times New Roman"/>
          <w:color w:val="0000FF"/>
          <w:sz w:val="20"/>
          <w:szCs w:val="20"/>
          <w:highlight w:val="yellow"/>
        </w:rPr>
      </w:pPr>
    </w:p>
    <w:p w14:paraId="6B6A1E65" w14:textId="77777777" w:rsidR="000B5AF8" w:rsidRPr="00C8275B" w:rsidRDefault="000B5AF8" w:rsidP="000B5AF8">
      <w:pPr>
        <w:tabs>
          <w:tab w:val="left" w:pos="-720"/>
        </w:tabs>
        <w:suppressAutoHyphens/>
        <w:ind w:left="709" w:right="-26"/>
        <w:jc w:val="both"/>
        <w:rPr>
          <w:rFonts w:ascii="Times New Roman" w:hAnsi="Times New Roman" w:cs="Times New Roman"/>
          <w:b/>
          <w:spacing w:val="-3"/>
          <w:sz w:val="22"/>
          <w:szCs w:val="22"/>
          <w:u w:val="single"/>
          <w:lang w:val="es-ES_tradnl" w:eastAsia="es-ES_tradnl"/>
        </w:rPr>
      </w:pPr>
      <w:r w:rsidRPr="00C8275B">
        <w:rPr>
          <w:rFonts w:ascii="Times New Roman" w:hAnsi="Times New Roman" w:cs="Times New Roman"/>
          <w:b/>
          <w:spacing w:val="-3"/>
          <w:sz w:val="22"/>
          <w:szCs w:val="22"/>
          <w:u w:val="single"/>
          <w:lang w:val="es-ES_tradnl" w:eastAsia="es-ES_tradnl"/>
        </w:rPr>
        <w:t xml:space="preserve">Desglose del gasto/ingreso por impuesto sobre beneficios </w:t>
      </w:r>
    </w:p>
    <w:p w14:paraId="611CF483" w14:textId="77777777" w:rsidR="000B5AF8" w:rsidRPr="00C8275B"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2EDD2E1E" w14:textId="23A005FF" w:rsidR="000B5AF8" w:rsidRDefault="000B5AF8"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del gasto / ingreso por impuesto sobre beneficios en el ejercicio </w:t>
      </w:r>
      <w:r w:rsidR="006637E3"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es el siguiente:</w:t>
      </w:r>
    </w:p>
    <w:p w14:paraId="4D12C155" w14:textId="638FAE79" w:rsidR="00874DDE" w:rsidRDefault="00874DDE"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tbl>
      <w:tblPr>
        <w:tblW w:w="9141" w:type="dxa"/>
        <w:jc w:val="right"/>
        <w:tblCellMar>
          <w:left w:w="70" w:type="dxa"/>
          <w:right w:w="70" w:type="dxa"/>
        </w:tblCellMar>
        <w:tblLook w:val="04A0" w:firstRow="1" w:lastRow="0" w:firstColumn="1" w:lastColumn="0" w:noHBand="0" w:noVBand="1"/>
      </w:tblPr>
      <w:tblGrid>
        <w:gridCol w:w="2065"/>
        <w:gridCol w:w="931"/>
        <w:gridCol w:w="1187"/>
        <w:gridCol w:w="1572"/>
        <w:gridCol w:w="929"/>
        <w:gridCol w:w="1372"/>
        <w:gridCol w:w="1085"/>
      </w:tblGrid>
      <w:tr w:rsidR="00874DDE" w:rsidRPr="00874DDE" w14:paraId="52A3B2A1" w14:textId="77777777" w:rsidTr="00B73F85">
        <w:trPr>
          <w:trHeight w:val="305"/>
          <w:jc w:val="right"/>
        </w:trPr>
        <w:tc>
          <w:tcPr>
            <w:tcW w:w="2065" w:type="dxa"/>
            <w:vMerge w:val="restart"/>
            <w:tcBorders>
              <w:top w:val="single" w:sz="8" w:space="0" w:color="auto"/>
              <w:left w:val="nil"/>
              <w:bottom w:val="single" w:sz="8" w:space="0" w:color="000000"/>
              <w:right w:val="single" w:sz="8" w:space="0" w:color="auto"/>
            </w:tcBorders>
            <w:shd w:val="clear" w:color="auto" w:fill="FFFFFF" w:themeFill="background1"/>
            <w:vAlign w:val="center"/>
            <w:hideMark/>
          </w:tcPr>
          <w:p w14:paraId="1EE86DFA" w14:textId="77777777" w:rsidR="00874DDE" w:rsidRPr="00874DDE" w:rsidRDefault="00874DDE" w:rsidP="00453DD2">
            <w:pPr>
              <w:rPr>
                <w:rFonts w:ascii="Times New Roman" w:hAnsi="Times New Roman" w:cs="Times New Roman"/>
                <w:sz w:val="16"/>
                <w:szCs w:val="16"/>
              </w:rPr>
            </w:pPr>
            <w:r w:rsidRPr="00874DDE">
              <w:rPr>
                <w:rFonts w:ascii="Times New Roman" w:hAnsi="Times New Roman" w:cs="Times New Roman"/>
                <w:sz w:val="16"/>
                <w:szCs w:val="16"/>
              </w:rPr>
              <w:t> </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5CFD77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1.Impuesto Corriente</w:t>
            </w:r>
          </w:p>
        </w:tc>
        <w:tc>
          <w:tcPr>
            <w:tcW w:w="5060"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2189497F"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2.Variación del impuesto diferido</w:t>
            </w:r>
          </w:p>
        </w:tc>
        <w:tc>
          <w:tcPr>
            <w:tcW w:w="1085" w:type="dxa"/>
            <w:vMerge w:val="restart"/>
            <w:tcBorders>
              <w:top w:val="single" w:sz="8" w:space="0" w:color="auto"/>
              <w:left w:val="single" w:sz="8" w:space="0" w:color="auto"/>
              <w:bottom w:val="single" w:sz="8" w:space="0" w:color="000000"/>
              <w:right w:val="nil"/>
            </w:tcBorders>
            <w:shd w:val="clear" w:color="auto" w:fill="FFFFFF" w:themeFill="background1"/>
            <w:vAlign w:val="center"/>
            <w:hideMark/>
          </w:tcPr>
          <w:p w14:paraId="2AD5442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3. TOTAL (1+2)</w:t>
            </w:r>
          </w:p>
        </w:tc>
      </w:tr>
      <w:tr w:rsidR="00874DDE" w:rsidRPr="00874DDE" w14:paraId="595266C3" w14:textId="77777777" w:rsidTr="00B73F85">
        <w:trPr>
          <w:trHeight w:val="593"/>
          <w:jc w:val="right"/>
        </w:trPr>
        <w:tc>
          <w:tcPr>
            <w:tcW w:w="206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6D08A201" w14:textId="77777777" w:rsidR="00874DDE" w:rsidRPr="00874DDE" w:rsidRDefault="00874DDE" w:rsidP="00453DD2">
            <w:pPr>
              <w:rPr>
                <w:rFonts w:ascii="Times New Roman" w:hAnsi="Times New Roman" w:cs="Times New Roman"/>
                <w:sz w:val="16"/>
                <w:szCs w:val="16"/>
              </w:rPr>
            </w:pPr>
          </w:p>
        </w:tc>
        <w:tc>
          <w:tcPr>
            <w:tcW w:w="931"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F3BE031" w14:textId="77777777" w:rsidR="00874DDE" w:rsidRPr="00874DDE" w:rsidRDefault="00874DDE" w:rsidP="00453DD2">
            <w:pPr>
              <w:rPr>
                <w:rFonts w:ascii="Times New Roman" w:hAnsi="Times New Roman" w:cs="Times New Roman"/>
                <w:b/>
                <w:bCs/>
                <w:sz w:val="16"/>
                <w:szCs w:val="16"/>
              </w:rPr>
            </w:pPr>
          </w:p>
        </w:tc>
        <w:tc>
          <w:tcPr>
            <w:tcW w:w="3688"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3714C44B" w14:textId="288203DC"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a)</w:t>
            </w:r>
            <w:r>
              <w:rPr>
                <w:rFonts w:ascii="Times New Roman" w:hAnsi="Times New Roman" w:cs="Times New Roman"/>
                <w:b/>
                <w:bCs/>
                <w:sz w:val="16"/>
                <w:szCs w:val="16"/>
              </w:rPr>
              <w:t xml:space="preserve"> </w:t>
            </w:r>
            <w:r w:rsidRPr="00874DDE">
              <w:rPr>
                <w:rFonts w:ascii="Times New Roman" w:hAnsi="Times New Roman" w:cs="Times New Roman"/>
                <w:b/>
                <w:bCs/>
                <w:sz w:val="16"/>
                <w:szCs w:val="16"/>
              </w:rPr>
              <w:t>Variación del impuesto diferido activo</w:t>
            </w:r>
          </w:p>
        </w:tc>
        <w:tc>
          <w:tcPr>
            <w:tcW w:w="1372" w:type="dxa"/>
            <w:tcBorders>
              <w:top w:val="nil"/>
              <w:left w:val="nil"/>
              <w:bottom w:val="single" w:sz="8" w:space="0" w:color="auto"/>
              <w:right w:val="single" w:sz="8" w:space="0" w:color="auto"/>
            </w:tcBorders>
            <w:shd w:val="clear" w:color="auto" w:fill="FFFFFF" w:themeFill="background1"/>
            <w:vAlign w:val="center"/>
            <w:hideMark/>
          </w:tcPr>
          <w:p w14:paraId="32BB3AE7" w14:textId="33D851C6"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b)</w:t>
            </w:r>
            <w:r>
              <w:rPr>
                <w:rFonts w:ascii="Times New Roman" w:hAnsi="Times New Roman" w:cs="Times New Roman"/>
                <w:b/>
                <w:bCs/>
                <w:sz w:val="16"/>
                <w:szCs w:val="16"/>
              </w:rPr>
              <w:t xml:space="preserve"> </w:t>
            </w:r>
            <w:r w:rsidRPr="00874DDE">
              <w:rPr>
                <w:rFonts w:ascii="Times New Roman" w:hAnsi="Times New Roman" w:cs="Times New Roman"/>
                <w:b/>
                <w:bCs/>
                <w:sz w:val="16"/>
                <w:szCs w:val="16"/>
              </w:rPr>
              <w:t>Variación del impuesto diferido de pasivo</w:t>
            </w:r>
          </w:p>
        </w:tc>
        <w:tc>
          <w:tcPr>
            <w:tcW w:w="1085"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53CF7899" w14:textId="77777777" w:rsidR="00874DDE" w:rsidRPr="00874DDE" w:rsidRDefault="00874DDE" w:rsidP="00453DD2">
            <w:pPr>
              <w:rPr>
                <w:rFonts w:ascii="Times New Roman" w:hAnsi="Times New Roman" w:cs="Times New Roman"/>
                <w:b/>
                <w:bCs/>
                <w:sz w:val="16"/>
                <w:szCs w:val="16"/>
              </w:rPr>
            </w:pPr>
          </w:p>
        </w:tc>
      </w:tr>
      <w:tr w:rsidR="00874DDE" w:rsidRPr="00874DDE" w14:paraId="2F77DF89" w14:textId="77777777" w:rsidTr="00B73F85">
        <w:trPr>
          <w:trHeight w:val="671"/>
          <w:jc w:val="right"/>
        </w:trPr>
        <w:tc>
          <w:tcPr>
            <w:tcW w:w="206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493D373B" w14:textId="77777777" w:rsidR="00874DDE" w:rsidRPr="00874DDE" w:rsidRDefault="00874DDE" w:rsidP="00453DD2">
            <w:pPr>
              <w:rPr>
                <w:rFonts w:ascii="Times New Roman" w:hAnsi="Times New Roman" w:cs="Times New Roman"/>
                <w:sz w:val="16"/>
                <w:szCs w:val="16"/>
              </w:rPr>
            </w:pPr>
          </w:p>
        </w:tc>
        <w:tc>
          <w:tcPr>
            <w:tcW w:w="931"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C7CBDF5" w14:textId="77777777" w:rsidR="00874DDE" w:rsidRPr="00874DDE" w:rsidRDefault="00874DDE" w:rsidP="00453DD2">
            <w:pPr>
              <w:rPr>
                <w:rFonts w:ascii="Times New Roman" w:hAnsi="Times New Roman" w:cs="Times New Roman"/>
                <w:b/>
                <w:bCs/>
                <w:sz w:val="16"/>
                <w:szCs w:val="16"/>
              </w:rPr>
            </w:pPr>
          </w:p>
        </w:tc>
        <w:tc>
          <w:tcPr>
            <w:tcW w:w="1187" w:type="dxa"/>
            <w:tcBorders>
              <w:top w:val="nil"/>
              <w:left w:val="nil"/>
              <w:bottom w:val="single" w:sz="8" w:space="0" w:color="auto"/>
              <w:right w:val="single" w:sz="8" w:space="0" w:color="auto"/>
            </w:tcBorders>
            <w:shd w:val="clear" w:color="auto" w:fill="FFFFFF" w:themeFill="background1"/>
            <w:vAlign w:val="center"/>
            <w:hideMark/>
          </w:tcPr>
          <w:p w14:paraId="68902C94"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Diferencias temporarias</w:t>
            </w:r>
          </w:p>
        </w:tc>
        <w:tc>
          <w:tcPr>
            <w:tcW w:w="1572" w:type="dxa"/>
            <w:tcBorders>
              <w:top w:val="nil"/>
              <w:left w:val="nil"/>
              <w:bottom w:val="single" w:sz="8" w:space="0" w:color="auto"/>
              <w:right w:val="single" w:sz="8" w:space="0" w:color="auto"/>
            </w:tcBorders>
            <w:shd w:val="clear" w:color="auto" w:fill="FFFFFF" w:themeFill="background1"/>
            <w:vAlign w:val="center"/>
            <w:hideMark/>
          </w:tcPr>
          <w:p w14:paraId="7E0B1C07"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Crédito impositivo por bases imponibles negativas</w:t>
            </w:r>
          </w:p>
        </w:tc>
        <w:tc>
          <w:tcPr>
            <w:tcW w:w="929" w:type="dxa"/>
            <w:tcBorders>
              <w:top w:val="nil"/>
              <w:left w:val="nil"/>
              <w:bottom w:val="single" w:sz="8" w:space="0" w:color="auto"/>
              <w:right w:val="single" w:sz="8" w:space="0" w:color="auto"/>
            </w:tcBorders>
            <w:shd w:val="clear" w:color="auto" w:fill="FFFFFF" w:themeFill="background1"/>
            <w:vAlign w:val="center"/>
            <w:hideMark/>
          </w:tcPr>
          <w:p w14:paraId="0B3F38D3"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Otros créditos</w:t>
            </w:r>
          </w:p>
        </w:tc>
        <w:tc>
          <w:tcPr>
            <w:tcW w:w="1372" w:type="dxa"/>
            <w:tcBorders>
              <w:top w:val="nil"/>
              <w:left w:val="nil"/>
              <w:bottom w:val="single" w:sz="8" w:space="0" w:color="auto"/>
              <w:right w:val="single" w:sz="8" w:space="0" w:color="auto"/>
            </w:tcBorders>
            <w:shd w:val="clear" w:color="auto" w:fill="FFFFFF" w:themeFill="background1"/>
            <w:vAlign w:val="center"/>
            <w:hideMark/>
          </w:tcPr>
          <w:p w14:paraId="1373A8EF" w14:textId="77777777" w:rsidR="00874DDE" w:rsidRPr="00874DDE" w:rsidRDefault="00874DDE" w:rsidP="00453DD2">
            <w:pPr>
              <w:jc w:val="center"/>
              <w:rPr>
                <w:rFonts w:ascii="Times New Roman" w:hAnsi="Times New Roman" w:cs="Times New Roman"/>
                <w:b/>
                <w:bCs/>
                <w:sz w:val="16"/>
                <w:szCs w:val="16"/>
              </w:rPr>
            </w:pPr>
            <w:r w:rsidRPr="00874DDE">
              <w:rPr>
                <w:rFonts w:ascii="Times New Roman" w:hAnsi="Times New Roman" w:cs="Times New Roman"/>
                <w:b/>
                <w:bCs/>
                <w:sz w:val="16"/>
                <w:szCs w:val="16"/>
              </w:rPr>
              <w:t>Diferencias temporarias</w:t>
            </w:r>
          </w:p>
        </w:tc>
        <w:tc>
          <w:tcPr>
            <w:tcW w:w="1085"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572487BA" w14:textId="77777777" w:rsidR="00874DDE" w:rsidRPr="00874DDE" w:rsidRDefault="00874DDE" w:rsidP="00453DD2">
            <w:pPr>
              <w:rPr>
                <w:rFonts w:ascii="Times New Roman" w:hAnsi="Times New Roman" w:cs="Times New Roman"/>
                <w:b/>
                <w:bCs/>
                <w:sz w:val="16"/>
                <w:szCs w:val="16"/>
              </w:rPr>
            </w:pPr>
          </w:p>
        </w:tc>
      </w:tr>
      <w:tr w:rsidR="00874DDE" w:rsidRPr="00874DDE" w14:paraId="48F3D546" w14:textId="77777777" w:rsidTr="00874DDE">
        <w:trPr>
          <w:trHeight w:val="290"/>
          <w:jc w:val="right"/>
        </w:trPr>
        <w:tc>
          <w:tcPr>
            <w:tcW w:w="2065" w:type="dxa"/>
            <w:tcBorders>
              <w:top w:val="nil"/>
              <w:left w:val="nil"/>
              <w:right w:val="nil"/>
            </w:tcBorders>
            <w:shd w:val="clear" w:color="auto" w:fill="auto"/>
            <w:vAlign w:val="center"/>
            <w:hideMark/>
          </w:tcPr>
          <w:p w14:paraId="24C75301" w14:textId="77777777" w:rsidR="00874DDE" w:rsidRPr="00874DDE" w:rsidRDefault="00874DDE" w:rsidP="00453DD2">
            <w:pPr>
              <w:rPr>
                <w:rFonts w:ascii="Times New Roman" w:hAnsi="Times New Roman" w:cs="Times New Roman"/>
                <w:b/>
                <w:bCs/>
                <w:sz w:val="16"/>
                <w:szCs w:val="16"/>
              </w:rPr>
            </w:pPr>
            <w:r w:rsidRPr="00874DDE">
              <w:rPr>
                <w:rFonts w:ascii="Times New Roman" w:hAnsi="Times New Roman" w:cs="Times New Roman"/>
                <w:b/>
                <w:bCs/>
                <w:sz w:val="16"/>
                <w:szCs w:val="16"/>
              </w:rPr>
              <w:t xml:space="preserve">Imputación a </w:t>
            </w:r>
            <w:proofErr w:type="spellStart"/>
            <w:r w:rsidRPr="00874DDE">
              <w:rPr>
                <w:rFonts w:ascii="Times New Roman" w:hAnsi="Times New Roman" w:cs="Times New Roman"/>
                <w:b/>
                <w:bCs/>
                <w:sz w:val="16"/>
                <w:szCs w:val="16"/>
              </w:rPr>
              <w:t>PyG</w:t>
            </w:r>
            <w:proofErr w:type="spellEnd"/>
            <w:r w:rsidRPr="00874DDE">
              <w:rPr>
                <w:rFonts w:ascii="Times New Roman" w:hAnsi="Times New Roman" w:cs="Times New Roman"/>
                <w:b/>
                <w:bCs/>
                <w:sz w:val="16"/>
                <w:szCs w:val="16"/>
              </w:rPr>
              <w:t>, de la cual:</w:t>
            </w:r>
          </w:p>
        </w:tc>
        <w:tc>
          <w:tcPr>
            <w:tcW w:w="931" w:type="dxa"/>
            <w:tcBorders>
              <w:top w:val="nil"/>
              <w:left w:val="nil"/>
              <w:right w:val="nil"/>
            </w:tcBorders>
            <w:shd w:val="clear" w:color="auto" w:fill="auto"/>
            <w:vAlign w:val="center"/>
            <w:hideMark/>
          </w:tcPr>
          <w:p w14:paraId="0DC804BD"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187" w:type="dxa"/>
            <w:tcBorders>
              <w:top w:val="nil"/>
              <w:left w:val="nil"/>
              <w:right w:val="nil"/>
            </w:tcBorders>
            <w:shd w:val="clear" w:color="auto" w:fill="auto"/>
            <w:vAlign w:val="center"/>
            <w:hideMark/>
          </w:tcPr>
          <w:p w14:paraId="4D6A830D"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sz w:val="18"/>
                <w:szCs w:val="18"/>
              </w:rPr>
              <w:t>0,00</w:t>
            </w:r>
          </w:p>
        </w:tc>
        <w:tc>
          <w:tcPr>
            <w:tcW w:w="1572" w:type="dxa"/>
            <w:tcBorders>
              <w:top w:val="nil"/>
              <w:left w:val="nil"/>
              <w:right w:val="nil"/>
            </w:tcBorders>
            <w:shd w:val="clear" w:color="auto" w:fill="auto"/>
            <w:vAlign w:val="center"/>
            <w:hideMark/>
          </w:tcPr>
          <w:p w14:paraId="0A327300" w14:textId="6FE19AEF"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1.610.810,47</w:t>
            </w:r>
          </w:p>
        </w:tc>
        <w:tc>
          <w:tcPr>
            <w:tcW w:w="929" w:type="dxa"/>
            <w:tcBorders>
              <w:top w:val="nil"/>
              <w:left w:val="nil"/>
              <w:right w:val="nil"/>
            </w:tcBorders>
            <w:shd w:val="clear" w:color="auto" w:fill="auto"/>
            <w:vAlign w:val="center"/>
            <w:hideMark/>
          </w:tcPr>
          <w:p w14:paraId="4C728258"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372" w:type="dxa"/>
            <w:tcBorders>
              <w:top w:val="nil"/>
              <w:left w:val="nil"/>
              <w:right w:val="nil"/>
            </w:tcBorders>
            <w:shd w:val="clear" w:color="auto" w:fill="auto"/>
            <w:vAlign w:val="center"/>
            <w:hideMark/>
          </w:tcPr>
          <w:p w14:paraId="5FFF3E69" w14:textId="77777777" w:rsidR="00874DDE" w:rsidRPr="00874DDE" w:rsidRDefault="00874DDE" w:rsidP="00453DD2">
            <w:pPr>
              <w:jc w:val="center"/>
              <w:rPr>
                <w:rFonts w:ascii="Times New Roman" w:hAnsi="Times New Roman" w:cs="Times New Roman"/>
                <w:b/>
                <w:bCs/>
                <w:sz w:val="18"/>
                <w:szCs w:val="18"/>
              </w:rPr>
            </w:pPr>
            <w:r w:rsidRPr="00874DDE">
              <w:rPr>
                <w:rFonts w:ascii="Times New Roman" w:hAnsi="Times New Roman" w:cs="Times New Roman"/>
                <w:b/>
                <w:bCs/>
                <w:sz w:val="18"/>
                <w:szCs w:val="18"/>
              </w:rPr>
              <w:t>0,00</w:t>
            </w:r>
          </w:p>
        </w:tc>
        <w:tc>
          <w:tcPr>
            <w:tcW w:w="1085" w:type="dxa"/>
            <w:tcBorders>
              <w:top w:val="nil"/>
              <w:left w:val="nil"/>
              <w:right w:val="nil"/>
            </w:tcBorders>
            <w:shd w:val="clear" w:color="auto" w:fill="auto"/>
            <w:vAlign w:val="center"/>
            <w:hideMark/>
          </w:tcPr>
          <w:p w14:paraId="5E0A372E" w14:textId="5E470E56" w:rsidR="00874DDE" w:rsidRPr="00874DDE" w:rsidRDefault="00874DDE" w:rsidP="00453DD2">
            <w:pPr>
              <w:jc w:val="center"/>
              <w:rPr>
                <w:rFonts w:ascii="Times New Roman" w:hAnsi="Times New Roman" w:cs="Times New Roman"/>
                <w:b/>
                <w:bCs/>
                <w:sz w:val="17"/>
                <w:szCs w:val="17"/>
              </w:rPr>
            </w:pPr>
            <w:r w:rsidRPr="00874DDE">
              <w:rPr>
                <w:rFonts w:ascii="Times New Roman" w:hAnsi="Times New Roman" w:cs="Times New Roman"/>
                <w:b/>
                <w:sz w:val="17"/>
                <w:szCs w:val="17"/>
              </w:rPr>
              <w:t>1.610.810,47</w:t>
            </w:r>
          </w:p>
        </w:tc>
      </w:tr>
      <w:tr w:rsidR="00874DDE" w:rsidRPr="00874DDE" w14:paraId="4276DF93" w14:textId="77777777" w:rsidTr="00874DDE">
        <w:trPr>
          <w:trHeight w:val="290"/>
          <w:jc w:val="right"/>
        </w:trPr>
        <w:tc>
          <w:tcPr>
            <w:tcW w:w="2065" w:type="dxa"/>
            <w:tcBorders>
              <w:top w:val="nil"/>
              <w:left w:val="nil"/>
              <w:bottom w:val="single" w:sz="8" w:space="0" w:color="auto"/>
              <w:right w:val="nil"/>
            </w:tcBorders>
            <w:shd w:val="clear" w:color="auto" w:fill="auto"/>
            <w:vAlign w:val="center"/>
            <w:hideMark/>
          </w:tcPr>
          <w:p w14:paraId="4D49B80B" w14:textId="77777777" w:rsidR="00874DDE" w:rsidRPr="00874DDE" w:rsidRDefault="00874DDE" w:rsidP="00453DD2">
            <w:pPr>
              <w:rPr>
                <w:rFonts w:ascii="Times New Roman" w:hAnsi="Times New Roman" w:cs="Times New Roman"/>
                <w:sz w:val="16"/>
                <w:szCs w:val="16"/>
              </w:rPr>
            </w:pPr>
            <w:r w:rsidRPr="00874DDE">
              <w:rPr>
                <w:rFonts w:ascii="Times New Roman" w:hAnsi="Times New Roman" w:cs="Times New Roman"/>
                <w:sz w:val="16"/>
                <w:szCs w:val="16"/>
              </w:rPr>
              <w:t>-A operaciones continuadas</w:t>
            </w:r>
          </w:p>
        </w:tc>
        <w:tc>
          <w:tcPr>
            <w:tcW w:w="931" w:type="dxa"/>
            <w:tcBorders>
              <w:top w:val="nil"/>
              <w:left w:val="nil"/>
              <w:bottom w:val="single" w:sz="8" w:space="0" w:color="auto"/>
              <w:right w:val="nil"/>
            </w:tcBorders>
            <w:shd w:val="clear" w:color="auto" w:fill="auto"/>
            <w:vAlign w:val="center"/>
            <w:hideMark/>
          </w:tcPr>
          <w:p w14:paraId="20266121"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187" w:type="dxa"/>
            <w:tcBorders>
              <w:top w:val="nil"/>
              <w:left w:val="nil"/>
              <w:bottom w:val="single" w:sz="8" w:space="0" w:color="auto"/>
              <w:right w:val="nil"/>
            </w:tcBorders>
            <w:shd w:val="clear" w:color="auto" w:fill="auto"/>
            <w:vAlign w:val="center"/>
            <w:hideMark/>
          </w:tcPr>
          <w:p w14:paraId="7B68EE60"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572" w:type="dxa"/>
            <w:tcBorders>
              <w:top w:val="nil"/>
              <w:left w:val="nil"/>
              <w:bottom w:val="single" w:sz="8" w:space="0" w:color="auto"/>
              <w:right w:val="nil"/>
            </w:tcBorders>
            <w:shd w:val="clear" w:color="auto" w:fill="auto"/>
            <w:vAlign w:val="center"/>
            <w:hideMark/>
          </w:tcPr>
          <w:p w14:paraId="038DCC58" w14:textId="6BF3A3A6"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1.610.810,47</w:t>
            </w:r>
          </w:p>
        </w:tc>
        <w:tc>
          <w:tcPr>
            <w:tcW w:w="929" w:type="dxa"/>
            <w:tcBorders>
              <w:top w:val="nil"/>
              <w:left w:val="nil"/>
              <w:bottom w:val="single" w:sz="8" w:space="0" w:color="auto"/>
              <w:right w:val="nil"/>
            </w:tcBorders>
            <w:shd w:val="clear" w:color="auto" w:fill="auto"/>
            <w:vAlign w:val="center"/>
            <w:hideMark/>
          </w:tcPr>
          <w:p w14:paraId="71E4FBFF"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372" w:type="dxa"/>
            <w:tcBorders>
              <w:top w:val="nil"/>
              <w:left w:val="nil"/>
              <w:bottom w:val="single" w:sz="8" w:space="0" w:color="auto"/>
              <w:right w:val="nil"/>
            </w:tcBorders>
            <w:shd w:val="clear" w:color="auto" w:fill="auto"/>
            <w:vAlign w:val="center"/>
            <w:hideMark/>
          </w:tcPr>
          <w:p w14:paraId="78A45008" w14:textId="77777777"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0,00</w:t>
            </w:r>
          </w:p>
        </w:tc>
        <w:tc>
          <w:tcPr>
            <w:tcW w:w="1085" w:type="dxa"/>
            <w:tcBorders>
              <w:top w:val="nil"/>
              <w:left w:val="nil"/>
              <w:bottom w:val="single" w:sz="8" w:space="0" w:color="auto"/>
              <w:right w:val="nil"/>
            </w:tcBorders>
            <w:shd w:val="clear" w:color="auto" w:fill="auto"/>
            <w:vAlign w:val="center"/>
            <w:hideMark/>
          </w:tcPr>
          <w:p w14:paraId="529F4069" w14:textId="42ED7574" w:rsidR="00874DDE" w:rsidRPr="00874DDE" w:rsidRDefault="00874DDE" w:rsidP="00453DD2">
            <w:pPr>
              <w:jc w:val="center"/>
              <w:rPr>
                <w:rFonts w:ascii="Times New Roman" w:hAnsi="Times New Roman" w:cs="Times New Roman"/>
                <w:sz w:val="18"/>
                <w:szCs w:val="18"/>
              </w:rPr>
            </w:pPr>
            <w:r w:rsidRPr="00874DDE">
              <w:rPr>
                <w:rFonts w:ascii="Times New Roman" w:hAnsi="Times New Roman" w:cs="Times New Roman"/>
                <w:sz w:val="18"/>
                <w:szCs w:val="18"/>
              </w:rPr>
              <w:t>1.610.810,47</w:t>
            </w:r>
          </w:p>
        </w:tc>
      </w:tr>
    </w:tbl>
    <w:p w14:paraId="247A2AE6" w14:textId="77777777" w:rsidR="00874DDE" w:rsidRPr="00C8275B" w:rsidRDefault="00874DDE" w:rsidP="000B5AF8">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B9EBA13" w14:textId="77777777" w:rsidR="000B5AF8" w:rsidRPr="00C8275B"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El desglose del gasto / ingreso por impuesto sobre beneficios en el ejercicio </w:t>
      </w:r>
      <w:r w:rsidR="006637E3" w:rsidRPr="00C8275B">
        <w:rPr>
          <w:rFonts w:ascii="Times New Roman" w:hAnsi="Times New Roman" w:cs="Times New Roman"/>
          <w:spacing w:val="-3"/>
          <w:sz w:val="22"/>
          <w:szCs w:val="22"/>
          <w:lang w:val="es-ES_tradnl" w:eastAsia="es-ES_tradnl"/>
        </w:rPr>
        <w:t>2021</w:t>
      </w:r>
      <w:r w:rsidRPr="00C8275B">
        <w:rPr>
          <w:rFonts w:ascii="Times New Roman" w:hAnsi="Times New Roman" w:cs="Times New Roman"/>
          <w:spacing w:val="-3"/>
          <w:sz w:val="22"/>
          <w:szCs w:val="22"/>
          <w:lang w:val="es-ES_tradnl" w:eastAsia="es-ES_tradnl"/>
        </w:rPr>
        <w:t xml:space="preserve"> es el siguiente:</w:t>
      </w:r>
    </w:p>
    <w:p w14:paraId="3355360E" w14:textId="77777777" w:rsidR="000B5AF8" w:rsidRPr="00C8275B" w:rsidRDefault="000B5AF8" w:rsidP="001423EC">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tbl>
      <w:tblPr>
        <w:tblW w:w="9141" w:type="dxa"/>
        <w:jc w:val="right"/>
        <w:tblCellMar>
          <w:left w:w="70" w:type="dxa"/>
          <w:right w:w="70" w:type="dxa"/>
        </w:tblCellMar>
        <w:tblLook w:val="04A0" w:firstRow="1" w:lastRow="0" w:firstColumn="1" w:lastColumn="0" w:noHBand="0" w:noVBand="1"/>
      </w:tblPr>
      <w:tblGrid>
        <w:gridCol w:w="2085"/>
        <w:gridCol w:w="932"/>
        <w:gridCol w:w="1198"/>
        <w:gridCol w:w="1597"/>
        <w:gridCol w:w="941"/>
        <w:gridCol w:w="1392"/>
        <w:gridCol w:w="996"/>
      </w:tblGrid>
      <w:tr w:rsidR="006637E3" w:rsidRPr="00C8275B" w14:paraId="0AA0E752" w14:textId="77777777" w:rsidTr="00B73F85">
        <w:trPr>
          <w:trHeight w:val="305"/>
          <w:jc w:val="right"/>
        </w:trPr>
        <w:tc>
          <w:tcPr>
            <w:tcW w:w="2085" w:type="dxa"/>
            <w:vMerge w:val="restart"/>
            <w:tcBorders>
              <w:top w:val="single" w:sz="8" w:space="0" w:color="auto"/>
              <w:left w:val="nil"/>
              <w:bottom w:val="single" w:sz="8" w:space="0" w:color="000000"/>
              <w:right w:val="single" w:sz="8" w:space="0" w:color="auto"/>
            </w:tcBorders>
            <w:shd w:val="clear" w:color="auto" w:fill="FFFFFF" w:themeFill="background1"/>
            <w:vAlign w:val="center"/>
            <w:hideMark/>
          </w:tcPr>
          <w:p w14:paraId="6707980B" w14:textId="77777777" w:rsidR="006637E3" w:rsidRPr="00C8275B" w:rsidRDefault="006637E3" w:rsidP="00682699">
            <w:pPr>
              <w:rPr>
                <w:rFonts w:ascii="Times New Roman" w:hAnsi="Times New Roman" w:cs="Times New Roman"/>
                <w:sz w:val="16"/>
                <w:szCs w:val="16"/>
              </w:rPr>
            </w:pPr>
            <w:r w:rsidRPr="00C8275B">
              <w:rPr>
                <w:rFonts w:ascii="Times New Roman" w:hAnsi="Times New Roman" w:cs="Times New Roman"/>
                <w:sz w:val="16"/>
                <w:szCs w:val="16"/>
              </w:rPr>
              <w:t> </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960B97C"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1.Impuesto Corriente</w:t>
            </w:r>
          </w:p>
        </w:tc>
        <w:tc>
          <w:tcPr>
            <w:tcW w:w="5128"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7EB89B91"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2.Variación del impuesto diferido</w:t>
            </w:r>
          </w:p>
        </w:tc>
        <w:tc>
          <w:tcPr>
            <w:tcW w:w="996" w:type="dxa"/>
            <w:vMerge w:val="restart"/>
            <w:tcBorders>
              <w:top w:val="single" w:sz="8" w:space="0" w:color="auto"/>
              <w:left w:val="single" w:sz="8" w:space="0" w:color="auto"/>
              <w:bottom w:val="single" w:sz="8" w:space="0" w:color="000000"/>
              <w:right w:val="nil"/>
            </w:tcBorders>
            <w:shd w:val="clear" w:color="auto" w:fill="FFFFFF" w:themeFill="background1"/>
            <w:vAlign w:val="center"/>
            <w:hideMark/>
          </w:tcPr>
          <w:p w14:paraId="0B34FB7F"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3. TOTAL (1+2)</w:t>
            </w:r>
          </w:p>
        </w:tc>
      </w:tr>
      <w:tr w:rsidR="006637E3" w:rsidRPr="00C8275B" w14:paraId="4C2C5AA7" w14:textId="77777777" w:rsidTr="00B73F85">
        <w:trPr>
          <w:trHeight w:val="593"/>
          <w:jc w:val="right"/>
        </w:trPr>
        <w:tc>
          <w:tcPr>
            <w:tcW w:w="208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59D6E065" w14:textId="77777777" w:rsidR="006637E3" w:rsidRPr="00C8275B" w:rsidRDefault="006637E3" w:rsidP="00682699">
            <w:pPr>
              <w:rPr>
                <w:rFonts w:ascii="Times New Roman" w:hAnsi="Times New Roman" w:cs="Times New Roman"/>
                <w:sz w:val="16"/>
                <w:szCs w:val="16"/>
              </w:rPr>
            </w:pPr>
          </w:p>
        </w:tc>
        <w:tc>
          <w:tcPr>
            <w:tcW w:w="93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36B77F5" w14:textId="77777777" w:rsidR="006637E3" w:rsidRPr="00C8275B" w:rsidRDefault="006637E3" w:rsidP="00682699">
            <w:pPr>
              <w:rPr>
                <w:rFonts w:ascii="Times New Roman" w:hAnsi="Times New Roman" w:cs="Times New Roman"/>
                <w:b/>
                <w:bCs/>
                <w:sz w:val="16"/>
                <w:szCs w:val="16"/>
              </w:rPr>
            </w:pPr>
          </w:p>
        </w:tc>
        <w:tc>
          <w:tcPr>
            <w:tcW w:w="3736"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6CE5AFBE" w14:textId="4F6FD7DF"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a)</w:t>
            </w:r>
            <w:r w:rsidR="00874DDE">
              <w:rPr>
                <w:rFonts w:ascii="Times New Roman" w:hAnsi="Times New Roman" w:cs="Times New Roman"/>
                <w:b/>
                <w:bCs/>
                <w:sz w:val="16"/>
                <w:szCs w:val="16"/>
              </w:rPr>
              <w:t xml:space="preserve"> </w:t>
            </w:r>
            <w:r w:rsidRPr="00C8275B">
              <w:rPr>
                <w:rFonts w:ascii="Times New Roman" w:hAnsi="Times New Roman" w:cs="Times New Roman"/>
                <w:b/>
                <w:bCs/>
                <w:sz w:val="16"/>
                <w:szCs w:val="16"/>
              </w:rPr>
              <w:t>Variación del impuesto diferido activo</w:t>
            </w:r>
          </w:p>
        </w:tc>
        <w:tc>
          <w:tcPr>
            <w:tcW w:w="1392" w:type="dxa"/>
            <w:tcBorders>
              <w:top w:val="nil"/>
              <w:left w:val="nil"/>
              <w:bottom w:val="single" w:sz="8" w:space="0" w:color="auto"/>
              <w:right w:val="single" w:sz="8" w:space="0" w:color="auto"/>
            </w:tcBorders>
            <w:shd w:val="clear" w:color="auto" w:fill="FFFFFF" w:themeFill="background1"/>
            <w:vAlign w:val="center"/>
            <w:hideMark/>
          </w:tcPr>
          <w:p w14:paraId="4293FFA3" w14:textId="10B96805"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b)</w:t>
            </w:r>
            <w:r w:rsidR="00874DDE">
              <w:rPr>
                <w:rFonts w:ascii="Times New Roman" w:hAnsi="Times New Roman" w:cs="Times New Roman"/>
                <w:b/>
                <w:bCs/>
                <w:sz w:val="16"/>
                <w:szCs w:val="16"/>
              </w:rPr>
              <w:t xml:space="preserve"> </w:t>
            </w:r>
            <w:r w:rsidRPr="00C8275B">
              <w:rPr>
                <w:rFonts w:ascii="Times New Roman" w:hAnsi="Times New Roman" w:cs="Times New Roman"/>
                <w:b/>
                <w:bCs/>
                <w:sz w:val="16"/>
                <w:szCs w:val="16"/>
              </w:rPr>
              <w:t>Variación del impuesto diferido de pasivo</w:t>
            </w:r>
          </w:p>
        </w:tc>
        <w:tc>
          <w:tcPr>
            <w:tcW w:w="996"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42C2F48B" w14:textId="77777777" w:rsidR="006637E3" w:rsidRPr="00C8275B" w:rsidRDefault="006637E3" w:rsidP="00682699">
            <w:pPr>
              <w:rPr>
                <w:rFonts w:ascii="Times New Roman" w:hAnsi="Times New Roman" w:cs="Times New Roman"/>
                <w:b/>
                <w:bCs/>
                <w:sz w:val="16"/>
                <w:szCs w:val="16"/>
              </w:rPr>
            </w:pPr>
          </w:p>
        </w:tc>
      </w:tr>
      <w:tr w:rsidR="006637E3" w:rsidRPr="00C8275B" w14:paraId="5590C011" w14:textId="77777777" w:rsidTr="00B73F85">
        <w:trPr>
          <w:trHeight w:val="671"/>
          <w:jc w:val="right"/>
        </w:trPr>
        <w:tc>
          <w:tcPr>
            <w:tcW w:w="2085" w:type="dxa"/>
            <w:vMerge/>
            <w:tcBorders>
              <w:top w:val="single" w:sz="8" w:space="0" w:color="auto"/>
              <w:left w:val="nil"/>
              <w:bottom w:val="single" w:sz="8" w:space="0" w:color="000000"/>
              <w:right w:val="single" w:sz="8" w:space="0" w:color="auto"/>
            </w:tcBorders>
            <w:shd w:val="clear" w:color="auto" w:fill="FFFFFF" w:themeFill="background1"/>
            <w:vAlign w:val="center"/>
            <w:hideMark/>
          </w:tcPr>
          <w:p w14:paraId="5C9E908F" w14:textId="77777777" w:rsidR="006637E3" w:rsidRPr="00C8275B" w:rsidRDefault="006637E3" w:rsidP="00682699">
            <w:pPr>
              <w:rPr>
                <w:rFonts w:ascii="Times New Roman" w:hAnsi="Times New Roman" w:cs="Times New Roman"/>
                <w:sz w:val="16"/>
                <w:szCs w:val="16"/>
              </w:rPr>
            </w:pPr>
          </w:p>
        </w:tc>
        <w:tc>
          <w:tcPr>
            <w:tcW w:w="93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A1C9A43" w14:textId="77777777" w:rsidR="006637E3" w:rsidRPr="00C8275B" w:rsidRDefault="006637E3" w:rsidP="00682699">
            <w:pPr>
              <w:rPr>
                <w:rFonts w:ascii="Times New Roman" w:hAnsi="Times New Roman" w:cs="Times New Roman"/>
                <w:b/>
                <w:bCs/>
                <w:sz w:val="16"/>
                <w:szCs w:val="16"/>
              </w:rPr>
            </w:pPr>
          </w:p>
        </w:tc>
        <w:tc>
          <w:tcPr>
            <w:tcW w:w="1198" w:type="dxa"/>
            <w:tcBorders>
              <w:top w:val="nil"/>
              <w:left w:val="nil"/>
              <w:bottom w:val="single" w:sz="8" w:space="0" w:color="auto"/>
              <w:right w:val="single" w:sz="8" w:space="0" w:color="auto"/>
            </w:tcBorders>
            <w:shd w:val="clear" w:color="auto" w:fill="FFFFFF" w:themeFill="background1"/>
            <w:vAlign w:val="center"/>
            <w:hideMark/>
          </w:tcPr>
          <w:p w14:paraId="4656CDC9"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Diferencias temporarias</w:t>
            </w:r>
          </w:p>
        </w:tc>
        <w:tc>
          <w:tcPr>
            <w:tcW w:w="1597" w:type="dxa"/>
            <w:tcBorders>
              <w:top w:val="nil"/>
              <w:left w:val="nil"/>
              <w:bottom w:val="single" w:sz="8" w:space="0" w:color="auto"/>
              <w:right w:val="single" w:sz="8" w:space="0" w:color="auto"/>
            </w:tcBorders>
            <w:shd w:val="clear" w:color="auto" w:fill="FFFFFF" w:themeFill="background1"/>
            <w:vAlign w:val="center"/>
            <w:hideMark/>
          </w:tcPr>
          <w:p w14:paraId="0B2182DF"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Crédito impositivo por bases imponibles negativas</w:t>
            </w:r>
          </w:p>
        </w:tc>
        <w:tc>
          <w:tcPr>
            <w:tcW w:w="941" w:type="dxa"/>
            <w:tcBorders>
              <w:top w:val="nil"/>
              <w:left w:val="nil"/>
              <w:bottom w:val="single" w:sz="8" w:space="0" w:color="auto"/>
              <w:right w:val="single" w:sz="8" w:space="0" w:color="auto"/>
            </w:tcBorders>
            <w:shd w:val="clear" w:color="auto" w:fill="FFFFFF" w:themeFill="background1"/>
            <w:vAlign w:val="center"/>
            <w:hideMark/>
          </w:tcPr>
          <w:p w14:paraId="1FA6593D"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Otros créditos</w:t>
            </w:r>
          </w:p>
        </w:tc>
        <w:tc>
          <w:tcPr>
            <w:tcW w:w="1392" w:type="dxa"/>
            <w:tcBorders>
              <w:top w:val="nil"/>
              <w:left w:val="nil"/>
              <w:bottom w:val="single" w:sz="8" w:space="0" w:color="auto"/>
              <w:right w:val="single" w:sz="8" w:space="0" w:color="auto"/>
            </w:tcBorders>
            <w:shd w:val="clear" w:color="auto" w:fill="FFFFFF" w:themeFill="background1"/>
            <w:vAlign w:val="center"/>
            <w:hideMark/>
          </w:tcPr>
          <w:p w14:paraId="4BBA43CA" w14:textId="77777777" w:rsidR="006637E3" w:rsidRPr="00C8275B" w:rsidRDefault="006637E3" w:rsidP="00682699">
            <w:pPr>
              <w:jc w:val="center"/>
              <w:rPr>
                <w:rFonts w:ascii="Times New Roman" w:hAnsi="Times New Roman" w:cs="Times New Roman"/>
                <w:b/>
                <w:bCs/>
                <w:sz w:val="16"/>
                <w:szCs w:val="16"/>
              </w:rPr>
            </w:pPr>
            <w:r w:rsidRPr="00C8275B">
              <w:rPr>
                <w:rFonts w:ascii="Times New Roman" w:hAnsi="Times New Roman" w:cs="Times New Roman"/>
                <w:b/>
                <w:bCs/>
                <w:sz w:val="16"/>
                <w:szCs w:val="16"/>
              </w:rPr>
              <w:t>Diferencias temporarias</w:t>
            </w:r>
          </w:p>
        </w:tc>
        <w:tc>
          <w:tcPr>
            <w:tcW w:w="996" w:type="dxa"/>
            <w:vMerge/>
            <w:tcBorders>
              <w:top w:val="single" w:sz="8" w:space="0" w:color="auto"/>
              <w:left w:val="single" w:sz="8" w:space="0" w:color="auto"/>
              <w:bottom w:val="single" w:sz="8" w:space="0" w:color="000000"/>
              <w:right w:val="nil"/>
            </w:tcBorders>
            <w:shd w:val="clear" w:color="auto" w:fill="FFFFFF" w:themeFill="background1"/>
            <w:vAlign w:val="center"/>
            <w:hideMark/>
          </w:tcPr>
          <w:p w14:paraId="43C772ED" w14:textId="77777777" w:rsidR="006637E3" w:rsidRPr="00C8275B" w:rsidRDefault="006637E3" w:rsidP="00682699">
            <w:pPr>
              <w:rPr>
                <w:rFonts w:ascii="Times New Roman" w:hAnsi="Times New Roman" w:cs="Times New Roman"/>
                <w:b/>
                <w:bCs/>
                <w:sz w:val="16"/>
                <w:szCs w:val="16"/>
              </w:rPr>
            </w:pPr>
          </w:p>
        </w:tc>
      </w:tr>
      <w:tr w:rsidR="006637E3" w:rsidRPr="00C8275B" w14:paraId="69672B7A" w14:textId="77777777" w:rsidTr="00874DDE">
        <w:trPr>
          <w:trHeight w:val="290"/>
          <w:jc w:val="right"/>
        </w:trPr>
        <w:tc>
          <w:tcPr>
            <w:tcW w:w="2085" w:type="dxa"/>
            <w:tcBorders>
              <w:top w:val="nil"/>
              <w:left w:val="nil"/>
              <w:right w:val="nil"/>
            </w:tcBorders>
            <w:shd w:val="clear" w:color="auto" w:fill="auto"/>
            <w:vAlign w:val="center"/>
            <w:hideMark/>
          </w:tcPr>
          <w:p w14:paraId="2D254171" w14:textId="77777777" w:rsidR="006637E3" w:rsidRPr="00C8275B" w:rsidRDefault="006637E3" w:rsidP="00682699">
            <w:pPr>
              <w:rPr>
                <w:rFonts w:ascii="Times New Roman" w:hAnsi="Times New Roman" w:cs="Times New Roman"/>
                <w:b/>
                <w:bCs/>
                <w:sz w:val="16"/>
                <w:szCs w:val="16"/>
              </w:rPr>
            </w:pPr>
            <w:r w:rsidRPr="00C8275B">
              <w:rPr>
                <w:rFonts w:ascii="Times New Roman" w:hAnsi="Times New Roman" w:cs="Times New Roman"/>
                <w:b/>
                <w:bCs/>
                <w:sz w:val="16"/>
                <w:szCs w:val="16"/>
              </w:rPr>
              <w:t xml:space="preserve">Imputación a </w:t>
            </w:r>
            <w:proofErr w:type="spellStart"/>
            <w:r w:rsidRPr="00C8275B">
              <w:rPr>
                <w:rFonts w:ascii="Times New Roman" w:hAnsi="Times New Roman" w:cs="Times New Roman"/>
                <w:b/>
                <w:bCs/>
                <w:sz w:val="16"/>
                <w:szCs w:val="16"/>
              </w:rPr>
              <w:t>PyG</w:t>
            </w:r>
            <w:proofErr w:type="spellEnd"/>
            <w:r w:rsidRPr="00C8275B">
              <w:rPr>
                <w:rFonts w:ascii="Times New Roman" w:hAnsi="Times New Roman" w:cs="Times New Roman"/>
                <w:b/>
                <w:bCs/>
                <w:sz w:val="16"/>
                <w:szCs w:val="16"/>
              </w:rPr>
              <w:t>, de la cual:</w:t>
            </w:r>
          </w:p>
        </w:tc>
        <w:tc>
          <w:tcPr>
            <w:tcW w:w="932" w:type="dxa"/>
            <w:tcBorders>
              <w:top w:val="nil"/>
              <w:left w:val="nil"/>
              <w:right w:val="nil"/>
            </w:tcBorders>
            <w:shd w:val="clear" w:color="auto" w:fill="auto"/>
            <w:vAlign w:val="center"/>
            <w:hideMark/>
          </w:tcPr>
          <w:p w14:paraId="094C49CC"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198" w:type="dxa"/>
            <w:tcBorders>
              <w:top w:val="nil"/>
              <w:left w:val="nil"/>
              <w:right w:val="nil"/>
            </w:tcBorders>
            <w:shd w:val="clear" w:color="auto" w:fill="auto"/>
            <w:vAlign w:val="center"/>
            <w:hideMark/>
          </w:tcPr>
          <w:p w14:paraId="4EB7BDFF"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sz w:val="18"/>
                <w:szCs w:val="18"/>
              </w:rPr>
              <w:t>0,00</w:t>
            </w:r>
          </w:p>
        </w:tc>
        <w:tc>
          <w:tcPr>
            <w:tcW w:w="1597" w:type="dxa"/>
            <w:tcBorders>
              <w:top w:val="nil"/>
              <w:left w:val="nil"/>
              <w:right w:val="nil"/>
            </w:tcBorders>
            <w:shd w:val="clear" w:color="auto" w:fill="auto"/>
            <w:vAlign w:val="center"/>
            <w:hideMark/>
          </w:tcPr>
          <w:p w14:paraId="7A00C3E3"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-97.200,19</w:t>
            </w:r>
          </w:p>
        </w:tc>
        <w:tc>
          <w:tcPr>
            <w:tcW w:w="941" w:type="dxa"/>
            <w:tcBorders>
              <w:top w:val="nil"/>
              <w:left w:val="nil"/>
              <w:right w:val="nil"/>
            </w:tcBorders>
            <w:shd w:val="clear" w:color="auto" w:fill="auto"/>
            <w:vAlign w:val="center"/>
            <w:hideMark/>
          </w:tcPr>
          <w:p w14:paraId="0A67DD05"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1392" w:type="dxa"/>
            <w:tcBorders>
              <w:top w:val="nil"/>
              <w:left w:val="nil"/>
              <w:right w:val="nil"/>
            </w:tcBorders>
            <w:shd w:val="clear" w:color="auto" w:fill="auto"/>
            <w:vAlign w:val="center"/>
            <w:hideMark/>
          </w:tcPr>
          <w:p w14:paraId="4D96BE8A" w14:textId="77777777" w:rsidR="006637E3" w:rsidRPr="00C8275B" w:rsidRDefault="006637E3" w:rsidP="00682699">
            <w:pPr>
              <w:jc w:val="center"/>
              <w:rPr>
                <w:rFonts w:ascii="Times New Roman" w:hAnsi="Times New Roman" w:cs="Times New Roman"/>
                <w:b/>
                <w:bCs/>
                <w:sz w:val="18"/>
                <w:szCs w:val="18"/>
              </w:rPr>
            </w:pPr>
            <w:r w:rsidRPr="00C8275B">
              <w:rPr>
                <w:rFonts w:ascii="Times New Roman" w:hAnsi="Times New Roman" w:cs="Times New Roman"/>
                <w:b/>
                <w:bCs/>
                <w:sz w:val="18"/>
                <w:szCs w:val="18"/>
              </w:rPr>
              <w:t>0,00</w:t>
            </w:r>
          </w:p>
        </w:tc>
        <w:tc>
          <w:tcPr>
            <w:tcW w:w="996" w:type="dxa"/>
            <w:tcBorders>
              <w:top w:val="nil"/>
              <w:left w:val="nil"/>
              <w:right w:val="nil"/>
            </w:tcBorders>
            <w:shd w:val="clear" w:color="auto" w:fill="auto"/>
            <w:vAlign w:val="center"/>
            <w:hideMark/>
          </w:tcPr>
          <w:p w14:paraId="2B18970A" w14:textId="77777777" w:rsidR="006637E3" w:rsidRPr="00C8275B" w:rsidRDefault="006637E3" w:rsidP="00682699">
            <w:pPr>
              <w:jc w:val="center"/>
              <w:rPr>
                <w:rFonts w:ascii="Times New Roman" w:hAnsi="Times New Roman" w:cs="Times New Roman"/>
                <w:b/>
                <w:bCs/>
                <w:sz w:val="17"/>
                <w:szCs w:val="17"/>
              </w:rPr>
            </w:pPr>
            <w:r w:rsidRPr="00C8275B">
              <w:rPr>
                <w:rFonts w:ascii="Times New Roman" w:hAnsi="Times New Roman" w:cs="Times New Roman"/>
                <w:b/>
                <w:sz w:val="17"/>
                <w:szCs w:val="17"/>
              </w:rPr>
              <w:t>-97.200,19</w:t>
            </w:r>
          </w:p>
        </w:tc>
      </w:tr>
      <w:tr w:rsidR="006637E3" w:rsidRPr="00C8275B" w14:paraId="45BE24C8" w14:textId="77777777" w:rsidTr="00874DDE">
        <w:trPr>
          <w:trHeight w:val="290"/>
          <w:jc w:val="right"/>
        </w:trPr>
        <w:tc>
          <w:tcPr>
            <w:tcW w:w="2085" w:type="dxa"/>
            <w:tcBorders>
              <w:top w:val="nil"/>
              <w:left w:val="nil"/>
              <w:bottom w:val="single" w:sz="8" w:space="0" w:color="auto"/>
              <w:right w:val="nil"/>
            </w:tcBorders>
            <w:shd w:val="clear" w:color="auto" w:fill="auto"/>
            <w:vAlign w:val="center"/>
            <w:hideMark/>
          </w:tcPr>
          <w:p w14:paraId="35FBE726" w14:textId="77777777" w:rsidR="006637E3" w:rsidRPr="00C8275B" w:rsidRDefault="006637E3" w:rsidP="00682699">
            <w:pPr>
              <w:rPr>
                <w:rFonts w:ascii="Times New Roman" w:hAnsi="Times New Roman" w:cs="Times New Roman"/>
                <w:sz w:val="16"/>
                <w:szCs w:val="16"/>
              </w:rPr>
            </w:pPr>
            <w:r w:rsidRPr="00C8275B">
              <w:rPr>
                <w:rFonts w:ascii="Times New Roman" w:hAnsi="Times New Roman" w:cs="Times New Roman"/>
                <w:sz w:val="16"/>
                <w:szCs w:val="16"/>
              </w:rPr>
              <w:t>-A operaciones continuadas</w:t>
            </w:r>
          </w:p>
        </w:tc>
        <w:tc>
          <w:tcPr>
            <w:tcW w:w="932" w:type="dxa"/>
            <w:tcBorders>
              <w:top w:val="nil"/>
              <w:left w:val="nil"/>
              <w:bottom w:val="single" w:sz="8" w:space="0" w:color="auto"/>
              <w:right w:val="nil"/>
            </w:tcBorders>
            <w:shd w:val="clear" w:color="auto" w:fill="auto"/>
            <w:vAlign w:val="center"/>
            <w:hideMark/>
          </w:tcPr>
          <w:p w14:paraId="1BDF7200"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198" w:type="dxa"/>
            <w:tcBorders>
              <w:top w:val="nil"/>
              <w:left w:val="nil"/>
              <w:bottom w:val="single" w:sz="8" w:space="0" w:color="auto"/>
              <w:right w:val="nil"/>
            </w:tcBorders>
            <w:shd w:val="clear" w:color="auto" w:fill="auto"/>
            <w:vAlign w:val="center"/>
            <w:hideMark/>
          </w:tcPr>
          <w:p w14:paraId="662531A1"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597" w:type="dxa"/>
            <w:tcBorders>
              <w:top w:val="nil"/>
              <w:left w:val="nil"/>
              <w:bottom w:val="single" w:sz="8" w:space="0" w:color="auto"/>
              <w:right w:val="nil"/>
            </w:tcBorders>
            <w:shd w:val="clear" w:color="auto" w:fill="auto"/>
            <w:vAlign w:val="center"/>
            <w:hideMark/>
          </w:tcPr>
          <w:p w14:paraId="3BEDE034"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-97.200,19</w:t>
            </w:r>
          </w:p>
        </w:tc>
        <w:tc>
          <w:tcPr>
            <w:tcW w:w="941" w:type="dxa"/>
            <w:tcBorders>
              <w:top w:val="nil"/>
              <w:left w:val="nil"/>
              <w:bottom w:val="single" w:sz="8" w:space="0" w:color="auto"/>
              <w:right w:val="nil"/>
            </w:tcBorders>
            <w:shd w:val="clear" w:color="auto" w:fill="auto"/>
            <w:vAlign w:val="center"/>
            <w:hideMark/>
          </w:tcPr>
          <w:p w14:paraId="2FBF0841"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1392" w:type="dxa"/>
            <w:tcBorders>
              <w:top w:val="nil"/>
              <w:left w:val="nil"/>
              <w:bottom w:val="single" w:sz="8" w:space="0" w:color="auto"/>
              <w:right w:val="nil"/>
            </w:tcBorders>
            <w:shd w:val="clear" w:color="auto" w:fill="auto"/>
            <w:vAlign w:val="center"/>
            <w:hideMark/>
          </w:tcPr>
          <w:p w14:paraId="4EAC6587"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0,00</w:t>
            </w:r>
          </w:p>
        </w:tc>
        <w:tc>
          <w:tcPr>
            <w:tcW w:w="996" w:type="dxa"/>
            <w:tcBorders>
              <w:top w:val="nil"/>
              <w:left w:val="nil"/>
              <w:bottom w:val="single" w:sz="8" w:space="0" w:color="auto"/>
              <w:right w:val="nil"/>
            </w:tcBorders>
            <w:shd w:val="clear" w:color="auto" w:fill="auto"/>
            <w:vAlign w:val="center"/>
            <w:hideMark/>
          </w:tcPr>
          <w:p w14:paraId="46BFC38F" w14:textId="77777777" w:rsidR="006637E3" w:rsidRPr="00C8275B" w:rsidRDefault="006637E3" w:rsidP="00682699">
            <w:pPr>
              <w:jc w:val="center"/>
              <w:rPr>
                <w:rFonts w:ascii="Times New Roman" w:hAnsi="Times New Roman" w:cs="Times New Roman"/>
                <w:sz w:val="18"/>
                <w:szCs w:val="18"/>
              </w:rPr>
            </w:pPr>
            <w:r w:rsidRPr="00C8275B">
              <w:rPr>
                <w:rFonts w:ascii="Times New Roman" w:hAnsi="Times New Roman" w:cs="Times New Roman"/>
                <w:sz w:val="18"/>
                <w:szCs w:val="18"/>
              </w:rPr>
              <w:t>-97.200,19</w:t>
            </w:r>
          </w:p>
        </w:tc>
      </w:tr>
    </w:tbl>
    <w:p w14:paraId="7E1A6D5E"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50EF6722"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3DEF9954" w14:textId="77777777" w:rsidR="0070062A" w:rsidRDefault="0070062A" w:rsidP="00807C63">
      <w:pPr>
        <w:tabs>
          <w:tab w:val="left" w:pos="-720"/>
        </w:tabs>
        <w:suppressAutoHyphens/>
        <w:ind w:left="709" w:right="-26"/>
        <w:jc w:val="both"/>
        <w:rPr>
          <w:rFonts w:ascii="Times New Roman" w:hAnsi="Times New Roman" w:cs="Times New Roman"/>
          <w:sz w:val="22"/>
          <w:szCs w:val="22"/>
          <w:lang w:eastAsia="es-ES_tradnl"/>
        </w:rPr>
      </w:pPr>
    </w:p>
    <w:p w14:paraId="1B48B5C5" w14:textId="0B545939" w:rsidR="00807C63" w:rsidRPr="00C8275B" w:rsidRDefault="00807C63" w:rsidP="00807C63">
      <w:pPr>
        <w:tabs>
          <w:tab w:val="left" w:pos="-720"/>
        </w:tabs>
        <w:suppressAutoHyphens/>
        <w:ind w:left="709" w:right="-26"/>
        <w:jc w:val="both"/>
        <w:rPr>
          <w:rFonts w:ascii="Times New Roman" w:hAnsi="Times New Roman" w:cs="Times New Roman"/>
        </w:rPr>
      </w:pPr>
      <w:r w:rsidRPr="00C8275B">
        <w:rPr>
          <w:rFonts w:ascii="Times New Roman" w:hAnsi="Times New Roman" w:cs="Times New Roman"/>
          <w:sz w:val="22"/>
          <w:szCs w:val="22"/>
          <w:lang w:eastAsia="es-ES_tradnl"/>
        </w:rPr>
        <w:lastRenderedPageBreak/>
        <w:t>La</w:t>
      </w:r>
      <w:r w:rsidRPr="00C8275B">
        <w:rPr>
          <w:rFonts w:ascii="Times New Roman" w:hAnsi="Times New Roman" w:cs="Times New Roman"/>
          <w:spacing w:val="-2"/>
          <w:sz w:val="22"/>
          <w:szCs w:val="22"/>
          <w:lang w:val="es-ES_tradnl" w:eastAsia="es-ES_tradnl"/>
        </w:rPr>
        <w:t xml:space="preserve"> sociedad, de acuerdo al artículo 34 de la Ley del Impuesto de Sociedades puede 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p>
    <w:p w14:paraId="4F720522" w14:textId="77777777" w:rsidR="00714748" w:rsidRPr="00C8275B" w:rsidRDefault="00714748" w:rsidP="001423EC">
      <w:pPr>
        <w:tabs>
          <w:tab w:val="left" w:pos="-720"/>
        </w:tabs>
        <w:suppressAutoHyphens/>
        <w:ind w:left="709" w:right="-26"/>
        <w:jc w:val="both"/>
        <w:rPr>
          <w:rFonts w:ascii="Times New Roman" w:hAnsi="Times New Roman" w:cs="Times New Roman"/>
        </w:rPr>
      </w:pPr>
    </w:p>
    <w:p w14:paraId="643BB687" w14:textId="77777777" w:rsidR="00807C63" w:rsidRPr="00C8275B" w:rsidRDefault="00807C63" w:rsidP="00807C63">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rPr>
        <w:t>S</w:t>
      </w:r>
      <w:r w:rsidRPr="00C8275B">
        <w:rPr>
          <w:rFonts w:ascii="Times New Roman" w:hAnsi="Times New Roman" w:cs="Times New Roman"/>
          <w:spacing w:val="-3"/>
          <w:sz w:val="22"/>
          <w:szCs w:val="22"/>
          <w:lang w:val="es-ES_tradnl" w:eastAsia="es-ES_tradnl"/>
        </w:rPr>
        <w:t>obre dicha Base Imponible (Resultado Fiscal) se aplica el tipo impositivo del Impuesto sobre Sociedades respectivo bonificado, y el importe resultante se minora por las distintas deducciones, así como por las retenciones soportadas y los pagos a cuenta del impuesto efectuados.</w:t>
      </w:r>
    </w:p>
    <w:p w14:paraId="61D63654" w14:textId="0D98CFDA" w:rsidR="000B5AF8"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AE3A809" w14:textId="77777777" w:rsidR="00A64EE8" w:rsidRPr="00C8275B" w:rsidRDefault="00A64EE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71EF13D2" w14:textId="77777777" w:rsidR="000B5AF8" w:rsidRPr="00C8275B" w:rsidRDefault="000B5AF8" w:rsidP="001423EC">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resultado del impuesto sobre sociedades se corresponde con:</w:t>
      </w:r>
    </w:p>
    <w:p w14:paraId="7BD86149" w14:textId="77777777" w:rsidR="000B5AF8" w:rsidRPr="00C8275B" w:rsidRDefault="000B5AF8" w:rsidP="000B5AF8">
      <w:pPr>
        <w:spacing w:line="276" w:lineRule="auto"/>
        <w:jc w:val="both"/>
        <w:rPr>
          <w:rFonts w:ascii="Times New Roman" w:hAnsi="Times New Roman" w:cs="Times New Roman"/>
          <w:color w:val="0000FF"/>
        </w:rPr>
      </w:pPr>
    </w:p>
    <w:tbl>
      <w:tblPr>
        <w:tblW w:w="0" w:type="auto"/>
        <w:jc w:val="center"/>
        <w:tblCellMar>
          <w:left w:w="70" w:type="dxa"/>
          <w:right w:w="70" w:type="dxa"/>
        </w:tblCellMar>
        <w:tblLook w:val="04A0" w:firstRow="1" w:lastRow="0" w:firstColumn="1" w:lastColumn="0" w:noHBand="0" w:noVBand="1"/>
      </w:tblPr>
      <w:tblGrid>
        <w:gridCol w:w="4828"/>
        <w:gridCol w:w="1145"/>
        <w:gridCol w:w="500"/>
      </w:tblGrid>
      <w:tr w:rsidR="000B5AF8" w:rsidRPr="004C21AE" w14:paraId="59CCE183" w14:textId="77777777" w:rsidTr="00B73F85">
        <w:trPr>
          <w:trHeight w:val="327"/>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3719336B" w14:textId="77777777" w:rsidR="000B5AF8" w:rsidRPr="00B73F85" w:rsidRDefault="000B5AF8" w:rsidP="000B5AF8">
            <w:pPr>
              <w:jc w:val="center"/>
              <w:rPr>
                <w:rFonts w:ascii="Times New Roman" w:hAnsi="Times New Roman" w:cs="Times New Roman"/>
                <w:b/>
                <w:bCs/>
                <w:color w:val="0000FF"/>
                <w:sz w:val="18"/>
                <w:szCs w:val="18"/>
              </w:rPr>
            </w:pPr>
            <w:r w:rsidRPr="00B73F85">
              <w:rPr>
                <w:rFonts w:ascii="Times New Roman" w:hAnsi="Times New Roman" w:cs="Times New Roman"/>
                <w:b/>
                <w:bCs/>
                <w:color w:val="0000FF"/>
                <w:sz w:val="18"/>
                <w:szCs w:val="18"/>
              </w:rPr>
              <w:t> </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5CD65A20" w14:textId="1C8A7348" w:rsidR="000B5AF8" w:rsidRPr="00B73F85" w:rsidRDefault="00636180" w:rsidP="000B5AF8">
            <w:pPr>
              <w:jc w:val="center"/>
              <w:rPr>
                <w:rFonts w:ascii="Times New Roman" w:hAnsi="Times New Roman" w:cs="Times New Roman"/>
                <w:b/>
                <w:bCs/>
                <w:sz w:val="18"/>
                <w:szCs w:val="18"/>
              </w:rPr>
            </w:pPr>
            <w:r w:rsidRPr="00B73F85">
              <w:rPr>
                <w:rFonts w:ascii="Times New Roman" w:hAnsi="Times New Roman" w:cs="Times New Roman"/>
                <w:b/>
                <w:bCs/>
                <w:sz w:val="18"/>
                <w:szCs w:val="18"/>
              </w:rPr>
              <w:t>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264C57B1" w14:textId="527B3B22" w:rsidR="000B5AF8" w:rsidRPr="00B73F85" w:rsidRDefault="00636180" w:rsidP="000B5AF8">
            <w:pPr>
              <w:jc w:val="center"/>
              <w:rPr>
                <w:rFonts w:ascii="Times New Roman" w:hAnsi="Times New Roman" w:cs="Times New Roman"/>
                <w:b/>
                <w:bCs/>
                <w:sz w:val="18"/>
                <w:szCs w:val="18"/>
              </w:rPr>
            </w:pPr>
            <w:r w:rsidRPr="00B73F85">
              <w:rPr>
                <w:rFonts w:ascii="Times New Roman" w:hAnsi="Times New Roman" w:cs="Times New Roman"/>
                <w:b/>
                <w:bCs/>
                <w:sz w:val="18"/>
                <w:szCs w:val="18"/>
              </w:rPr>
              <w:t>2021</w:t>
            </w:r>
          </w:p>
        </w:tc>
      </w:tr>
      <w:tr w:rsidR="000B5AF8" w:rsidRPr="004C21AE" w14:paraId="65591B0A" w14:textId="77777777" w:rsidTr="00B73F85">
        <w:trPr>
          <w:trHeight w:hRule="exact" w:val="295"/>
          <w:jc w:val="center"/>
        </w:trPr>
        <w:tc>
          <w:tcPr>
            <w:tcW w:w="0" w:type="auto"/>
            <w:tcBorders>
              <w:top w:val="single" w:sz="4" w:space="0" w:color="auto"/>
              <w:left w:val="nil"/>
              <w:bottom w:val="nil"/>
              <w:right w:val="nil"/>
            </w:tcBorders>
            <w:shd w:val="clear" w:color="auto" w:fill="auto"/>
            <w:vAlign w:val="center"/>
            <w:hideMark/>
          </w:tcPr>
          <w:p w14:paraId="23F451FB"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Base imponible</w:t>
            </w:r>
          </w:p>
        </w:tc>
        <w:tc>
          <w:tcPr>
            <w:tcW w:w="0" w:type="auto"/>
            <w:tcBorders>
              <w:top w:val="single" w:sz="4" w:space="0" w:color="auto"/>
              <w:left w:val="nil"/>
              <w:bottom w:val="nil"/>
              <w:right w:val="nil"/>
            </w:tcBorders>
            <w:shd w:val="clear" w:color="auto" w:fill="auto"/>
            <w:vAlign w:val="center"/>
            <w:hideMark/>
          </w:tcPr>
          <w:p w14:paraId="6EF9D988" w14:textId="238783F7" w:rsidR="000B5AF8" w:rsidRPr="00B73F85" w:rsidRDefault="00A64EE8" w:rsidP="00A64EE8">
            <w:pPr>
              <w:jc w:val="center"/>
              <w:rPr>
                <w:rFonts w:ascii="Times New Roman" w:hAnsi="Times New Roman" w:cs="Times New Roman"/>
                <w:sz w:val="18"/>
                <w:szCs w:val="18"/>
              </w:rPr>
            </w:pPr>
            <w:r w:rsidRPr="00B73F85">
              <w:rPr>
                <w:rFonts w:ascii="Times New Roman" w:hAnsi="Times New Roman" w:cs="Times New Roman"/>
                <w:sz w:val="18"/>
                <w:szCs w:val="18"/>
              </w:rPr>
              <w:t>-1.610.810,47</w:t>
            </w:r>
          </w:p>
        </w:tc>
        <w:tc>
          <w:tcPr>
            <w:tcW w:w="0" w:type="auto"/>
            <w:tcBorders>
              <w:top w:val="single" w:sz="4" w:space="0" w:color="auto"/>
              <w:left w:val="nil"/>
              <w:bottom w:val="nil"/>
              <w:right w:val="nil"/>
            </w:tcBorders>
            <w:shd w:val="clear" w:color="auto" w:fill="auto"/>
            <w:vAlign w:val="center"/>
            <w:hideMark/>
          </w:tcPr>
          <w:p w14:paraId="021B1DF6"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46F6C261"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266F4313"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Cuota integra</w:t>
            </w:r>
          </w:p>
        </w:tc>
        <w:tc>
          <w:tcPr>
            <w:tcW w:w="0" w:type="auto"/>
            <w:tcBorders>
              <w:top w:val="nil"/>
              <w:left w:val="nil"/>
              <w:bottom w:val="nil"/>
              <w:right w:val="nil"/>
            </w:tcBorders>
            <w:shd w:val="clear" w:color="auto" w:fill="auto"/>
            <w:vAlign w:val="center"/>
            <w:hideMark/>
          </w:tcPr>
          <w:p w14:paraId="156D04B9"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125AF85D"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1CAB1174"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038BDEBB"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Deducciones de la cuota</w:t>
            </w:r>
          </w:p>
        </w:tc>
        <w:tc>
          <w:tcPr>
            <w:tcW w:w="0" w:type="auto"/>
            <w:tcBorders>
              <w:top w:val="nil"/>
              <w:left w:val="nil"/>
              <w:bottom w:val="nil"/>
              <w:right w:val="nil"/>
            </w:tcBorders>
            <w:shd w:val="clear" w:color="auto" w:fill="auto"/>
            <w:vAlign w:val="center"/>
            <w:hideMark/>
          </w:tcPr>
          <w:p w14:paraId="27EC5718"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30D5FF2C"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7EFB586D"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69C95A24"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Impuesto corriente</w:t>
            </w:r>
          </w:p>
        </w:tc>
        <w:tc>
          <w:tcPr>
            <w:tcW w:w="0" w:type="auto"/>
            <w:tcBorders>
              <w:top w:val="nil"/>
              <w:left w:val="nil"/>
              <w:bottom w:val="nil"/>
              <w:right w:val="nil"/>
            </w:tcBorders>
            <w:shd w:val="clear" w:color="auto" w:fill="auto"/>
            <w:vAlign w:val="center"/>
            <w:hideMark/>
          </w:tcPr>
          <w:p w14:paraId="6C941076"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0748629A"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34692B5F" w14:textId="77777777" w:rsidTr="00A64EE8">
        <w:trPr>
          <w:trHeight w:hRule="exact" w:val="295"/>
          <w:jc w:val="center"/>
        </w:trPr>
        <w:tc>
          <w:tcPr>
            <w:tcW w:w="0" w:type="auto"/>
            <w:tcBorders>
              <w:top w:val="nil"/>
              <w:left w:val="nil"/>
              <w:bottom w:val="nil"/>
              <w:right w:val="nil"/>
            </w:tcBorders>
            <w:shd w:val="clear" w:color="auto" w:fill="auto"/>
            <w:vAlign w:val="center"/>
            <w:hideMark/>
          </w:tcPr>
          <w:p w14:paraId="0B7C4D6E"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Impuesto diferido</w:t>
            </w:r>
          </w:p>
        </w:tc>
        <w:tc>
          <w:tcPr>
            <w:tcW w:w="0" w:type="auto"/>
            <w:tcBorders>
              <w:top w:val="nil"/>
              <w:left w:val="nil"/>
              <w:bottom w:val="nil"/>
              <w:right w:val="nil"/>
            </w:tcBorders>
            <w:shd w:val="clear" w:color="auto" w:fill="auto"/>
            <w:vAlign w:val="center"/>
            <w:hideMark/>
          </w:tcPr>
          <w:p w14:paraId="3AB323F1"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nil"/>
              <w:right w:val="nil"/>
            </w:tcBorders>
            <w:shd w:val="clear" w:color="auto" w:fill="auto"/>
            <w:vAlign w:val="center"/>
            <w:hideMark/>
          </w:tcPr>
          <w:p w14:paraId="0576AA1F"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617FF1EA" w14:textId="77777777" w:rsidTr="00A64EE8">
        <w:trPr>
          <w:trHeight w:hRule="exact" w:val="295"/>
          <w:jc w:val="center"/>
        </w:trPr>
        <w:tc>
          <w:tcPr>
            <w:tcW w:w="0" w:type="auto"/>
            <w:tcBorders>
              <w:top w:val="nil"/>
              <w:left w:val="nil"/>
              <w:right w:val="nil"/>
            </w:tcBorders>
            <w:shd w:val="clear" w:color="auto" w:fill="auto"/>
            <w:vAlign w:val="center"/>
            <w:hideMark/>
          </w:tcPr>
          <w:p w14:paraId="41B1B99F"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Retenciones</w:t>
            </w:r>
          </w:p>
        </w:tc>
        <w:tc>
          <w:tcPr>
            <w:tcW w:w="0" w:type="auto"/>
            <w:tcBorders>
              <w:top w:val="nil"/>
              <w:left w:val="nil"/>
              <w:right w:val="nil"/>
            </w:tcBorders>
            <w:shd w:val="clear" w:color="auto" w:fill="auto"/>
            <w:vAlign w:val="center"/>
            <w:hideMark/>
          </w:tcPr>
          <w:p w14:paraId="5A2AE7FF"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right w:val="nil"/>
            </w:tcBorders>
            <w:shd w:val="clear" w:color="auto" w:fill="auto"/>
            <w:vAlign w:val="center"/>
            <w:hideMark/>
          </w:tcPr>
          <w:p w14:paraId="3B12F64E"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61F8548E" w14:textId="77777777" w:rsidTr="00A64EE8">
        <w:trPr>
          <w:trHeight w:hRule="exact" w:val="295"/>
          <w:jc w:val="center"/>
        </w:trPr>
        <w:tc>
          <w:tcPr>
            <w:tcW w:w="0" w:type="auto"/>
            <w:tcBorders>
              <w:top w:val="nil"/>
              <w:left w:val="nil"/>
              <w:bottom w:val="single" w:sz="4" w:space="0" w:color="auto"/>
              <w:right w:val="nil"/>
            </w:tcBorders>
            <w:shd w:val="clear" w:color="auto" w:fill="auto"/>
            <w:vAlign w:val="center"/>
            <w:hideMark/>
          </w:tcPr>
          <w:p w14:paraId="04708736" w14:textId="77777777" w:rsidR="000B5AF8" w:rsidRPr="00B73F85" w:rsidRDefault="000B5AF8" w:rsidP="000B5AF8">
            <w:pPr>
              <w:rPr>
                <w:rFonts w:ascii="Times New Roman" w:hAnsi="Times New Roman" w:cs="Times New Roman"/>
                <w:sz w:val="18"/>
                <w:szCs w:val="18"/>
              </w:rPr>
            </w:pPr>
            <w:r w:rsidRPr="00B73F85">
              <w:rPr>
                <w:rFonts w:ascii="Times New Roman" w:hAnsi="Times New Roman" w:cs="Times New Roman"/>
                <w:sz w:val="18"/>
                <w:szCs w:val="18"/>
              </w:rPr>
              <w:t>Pagos a cuenta del impuesto</w:t>
            </w:r>
          </w:p>
        </w:tc>
        <w:tc>
          <w:tcPr>
            <w:tcW w:w="0" w:type="auto"/>
            <w:tcBorders>
              <w:top w:val="nil"/>
              <w:left w:val="nil"/>
              <w:bottom w:val="single" w:sz="4" w:space="0" w:color="auto"/>
              <w:right w:val="nil"/>
            </w:tcBorders>
            <w:shd w:val="clear" w:color="auto" w:fill="auto"/>
            <w:vAlign w:val="center"/>
            <w:hideMark/>
          </w:tcPr>
          <w:p w14:paraId="6BFFD6FD" w14:textId="77777777" w:rsidR="000B5AF8" w:rsidRPr="00B73F85" w:rsidRDefault="000B5AF8"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c>
          <w:tcPr>
            <w:tcW w:w="0" w:type="auto"/>
            <w:tcBorders>
              <w:top w:val="nil"/>
              <w:left w:val="nil"/>
              <w:bottom w:val="single" w:sz="4" w:space="0" w:color="auto"/>
              <w:right w:val="nil"/>
            </w:tcBorders>
            <w:shd w:val="clear" w:color="auto" w:fill="auto"/>
            <w:vAlign w:val="center"/>
            <w:hideMark/>
          </w:tcPr>
          <w:p w14:paraId="50E7A6D7" w14:textId="77777777" w:rsidR="000B5AF8" w:rsidRPr="00B73F85" w:rsidRDefault="001423EC" w:rsidP="00A64EE8">
            <w:pPr>
              <w:jc w:val="center"/>
              <w:rPr>
                <w:rFonts w:ascii="Times New Roman" w:hAnsi="Times New Roman" w:cs="Times New Roman"/>
                <w:sz w:val="18"/>
                <w:szCs w:val="18"/>
              </w:rPr>
            </w:pPr>
            <w:r w:rsidRPr="00B73F85">
              <w:rPr>
                <w:rFonts w:ascii="Times New Roman" w:hAnsi="Times New Roman" w:cs="Times New Roman"/>
                <w:sz w:val="18"/>
                <w:szCs w:val="18"/>
              </w:rPr>
              <w:t>0,00</w:t>
            </w:r>
          </w:p>
        </w:tc>
      </w:tr>
      <w:tr w:rsidR="000B5AF8" w:rsidRPr="004C21AE" w14:paraId="4275212E" w14:textId="77777777" w:rsidTr="00731232">
        <w:trPr>
          <w:trHeight w:hRule="exact" w:val="453"/>
          <w:jc w:val="center"/>
        </w:trPr>
        <w:tc>
          <w:tcPr>
            <w:tcW w:w="0" w:type="auto"/>
            <w:tcBorders>
              <w:top w:val="single" w:sz="4" w:space="0" w:color="auto"/>
              <w:left w:val="nil"/>
              <w:bottom w:val="single" w:sz="8" w:space="0" w:color="auto"/>
              <w:right w:val="nil"/>
            </w:tcBorders>
            <w:shd w:val="clear" w:color="auto" w:fill="auto"/>
            <w:vAlign w:val="center"/>
            <w:hideMark/>
          </w:tcPr>
          <w:p w14:paraId="0ED0AC3F" w14:textId="20DE58EC" w:rsidR="000B5AF8" w:rsidRPr="00B73F85" w:rsidRDefault="000B5AF8" w:rsidP="000B5AF8">
            <w:pPr>
              <w:rPr>
                <w:rFonts w:ascii="Times New Roman" w:hAnsi="Times New Roman" w:cs="Times New Roman"/>
                <w:b/>
                <w:bCs/>
                <w:sz w:val="18"/>
                <w:szCs w:val="18"/>
              </w:rPr>
            </w:pPr>
            <w:r w:rsidRPr="00B73F85">
              <w:rPr>
                <w:rFonts w:ascii="Times New Roman" w:hAnsi="Times New Roman" w:cs="Times New Roman"/>
                <w:b/>
                <w:bCs/>
                <w:sz w:val="18"/>
                <w:szCs w:val="18"/>
              </w:rPr>
              <w:t>RESULTADO DEL IMPUESTO - A pagar (+) A devolver (-)</w:t>
            </w:r>
          </w:p>
        </w:tc>
        <w:tc>
          <w:tcPr>
            <w:tcW w:w="0" w:type="auto"/>
            <w:tcBorders>
              <w:top w:val="single" w:sz="4" w:space="0" w:color="auto"/>
              <w:left w:val="nil"/>
              <w:bottom w:val="single" w:sz="8" w:space="0" w:color="auto"/>
              <w:right w:val="nil"/>
            </w:tcBorders>
            <w:shd w:val="clear" w:color="auto" w:fill="auto"/>
            <w:vAlign w:val="center"/>
            <w:hideMark/>
          </w:tcPr>
          <w:p w14:paraId="766CAC7F" w14:textId="77777777" w:rsidR="000B5AF8" w:rsidRPr="00B73F85" w:rsidRDefault="001423EC" w:rsidP="00A64EE8">
            <w:pPr>
              <w:jc w:val="center"/>
              <w:rPr>
                <w:rFonts w:ascii="Times New Roman" w:hAnsi="Times New Roman" w:cs="Times New Roman"/>
                <w:b/>
                <w:bCs/>
                <w:sz w:val="18"/>
                <w:szCs w:val="18"/>
              </w:rPr>
            </w:pPr>
            <w:r w:rsidRPr="00B73F85">
              <w:rPr>
                <w:rFonts w:ascii="Times New Roman" w:hAnsi="Times New Roman" w:cs="Times New Roman"/>
                <w:b/>
                <w:bCs/>
                <w:sz w:val="18"/>
                <w:szCs w:val="18"/>
              </w:rPr>
              <w:t>0,00</w:t>
            </w:r>
          </w:p>
        </w:tc>
        <w:tc>
          <w:tcPr>
            <w:tcW w:w="0" w:type="auto"/>
            <w:tcBorders>
              <w:top w:val="single" w:sz="4" w:space="0" w:color="auto"/>
              <w:left w:val="nil"/>
              <w:bottom w:val="single" w:sz="8" w:space="0" w:color="auto"/>
              <w:right w:val="nil"/>
            </w:tcBorders>
            <w:shd w:val="clear" w:color="auto" w:fill="auto"/>
            <w:vAlign w:val="center"/>
            <w:hideMark/>
          </w:tcPr>
          <w:p w14:paraId="42228C82" w14:textId="77777777" w:rsidR="000B5AF8" w:rsidRPr="00B73F85" w:rsidRDefault="001423EC" w:rsidP="00A64EE8">
            <w:pPr>
              <w:jc w:val="center"/>
              <w:rPr>
                <w:rFonts w:ascii="Times New Roman" w:hAnsi="Times New Roman" w:cs="Times New Roman"/>
                <w:b/>
                <w:bCs/>
                <w:sz w:val="18"/>
                <w:szCs w:val="18"/>
              </w:rPr>
            </w:pPr>
            <w:r w:rsidRPr="00B73F85">
              <w:rPr>
                <w:rFonts w:ascii="Times New Roman" w:hAnsi="Times New Roman" w:cs="Times New Roman"/>
                <w:b/>
                <w:bCs/>
                <w:sz w:val="18"/>
                <w:szCs w:val="18"/>
              </w:rPr>
              <w:t>0,00</w:t>
            </w:r>
          </w:p>
        </w:tc>
      </w:tr>
    </w:tbl>
    <w:p w14:paraId="299FD180" w14:textId="77777777" w:rsidR="00A64EE8" w:rsidRDefault="00A64EE8" w:rsidP="009B4B09">
      <w:pPr>
        <w:shd w:val="clear" w:color="auto" w:fill="FFFFFF"/>
        <w:ind w:firstLine="709"/>
        <w:jc w:val="both"/>
        <w:rPr>
          <w:rFonts w:ascii="Times New Roman" w:hAnsi="Times New Roman" w:cs="Times New Roman"/>
          <w:spacing w:val="-3"/>
          <w:sz w:val="22"/>
          <w:szCs w:val="22"/>
          <w:lang w:val="es-ES_tradnl" w:eastAsia="es-ES_tradnl"/>
        </w:rPr>
      </w:pPr>
    </w:p>
    <w:p w14:paraId="513661F8" w14:textId="77777777" w:rsidR="00A64EE8" w:rsidRDefault="00A64EE8" w:rsidP="009B4B09">
      <w:pPr>
        <w:shd w:val="clear" w:color="auto" w:fill="FFFFFF"/>
        <w:ind w:firstLine="709"/>
        <w:jc w:val="both"/>
        <w:rPr>
          <w:rFonts w:ascii="Times New Roman" w:hAnsi="Times New Roman" w:cs="Times New Roman"/>
          <w:spacing w:val="-3"/>
          <w:sz w:val="22"/>
          <w:szCs w:val="22"/>
          <w:lang w:val="es-ES_tradnl" w:eastAsia="es-ES_tradnl"/>
        </w:rPr>
      </w:pPr>
    </w:p>
    <w:p w14:paraId="2286C644" w14:textId="51AD4CB0" w:rsidR="009B4B09" w:rsidRDefault="009B4B09" w:rsidP="009B4B09">
      <w:pPr>
        <w:shd w:val="clear" w:color="auto" w:fill="FFFFFF"/>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importe pendiente de compensar por Bases Imponibles Negativas se detalla a continuación:</w:t>
      </w:r>
    </w:p>
    <w:p w14:paraId="0063E8E3" w14:textId="13EA03FD" w:rsidR="004C21AE" w:rsidRDefault="004C21AE" w:rsidP="009B4B09">
      <w:pPr>
        <w:shd w:val="clear" w:color="auto" w:fill="FFFFFF"/>
        <w:ind w:firstLine="709"/>
        <w:jc w:val="both"/>
        <w:rPr>
          <w:rFonts w:ascii="Times New Roman" w:hAnsi="Times New Roman" w:cs="Times New Roman"/>
          <w:spacing w:val="-3"/>
          <w:sz w:val="22"/>
          <w:szCs w:val="22"/>
          <w:lang w:val="es-ES_tradnl" w:eastAsia="es-ES_tradnl"/>
        </w:rPr>
      </w:pPr>
    </w:p>
    <w:tbl>
      <w:tblPr>
        <w:tblW w:w="6136" w:type="dxa"/>
        <w:jc w:val="center"/>
        <w:tblCellMar>
          <w:left w:w="70" w:type="dxa"/>
          <w:right w:w="70" w:type="dxa"/>
        </w:tblCellMar>
        <w:tblLook w:val="04A0" w:firstRow="1" w:lastRow="0" w:firstColumn="1" w:lastColumn="0" w:noHBand="0" w:noVBand="1"/>
      </w:tblPr>
      <w:tblGrid>
        <w:gridCol w:w="3138"/>
        <w:gridCol w:w="1499"/>
        <w:gridCol w:w="1499"/>
      </w:tblGrid>
      <w:tr w:rsidR="004C21AE" w:rsidRPr="00731232" w14:paraId="0A473E9E" w14:textId="77777777" w:rsidTr="00B73F85">
        <w:trPr>
          <w:trHeight w:hRule="exact" w:val="328"/>
          <w:jc w:val="center"/>
        </w:trPr>
        <w:tc>
          <w:tcPr>
            <w:tcW w:w="0" w:type="auto"/>
            <w:tcBorders>
              <w:top w:val="single" w:sz="4" w:space="0" w:color="auto"/>
              <w:left w:val="nil"/>
              <w:bottom w:val="single" w:sz="4" w:space="0" w:color="auto"/>
              <w:right w:val="nil"/>
            </w:tcBorders>
            <w:shd w:val="clear" w:color="auto" w:fill="FFFFFF" w:themeFill="background1"/>
            <w:vAlign w:val="center"/>
            <w:hideMark/>
          </w:tcPr>
          <w:p w14:paraId="7A5D2B32"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Bases Imponibles Negativas</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634F24DB" w14:textId="30004234"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6E45E3F6" w14:textId="29A166C4"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2021</w:t>
            </w:r>
          </w:p>
        </w:tc>
      </w:tr>
      <w:tr w:rsidR="004C21AE" w:rsidRPr="00731232" w14:paraId="3359392F" w14:textId="77777777" w:rsidTr="00B73F85">
        <w:trPr>
          <w:trHeight w:hRule="exact" w:val="312"/>
          <w:jc w:val="center"/>
        </w:trPr>
        <w:tc>
          <w:tcPr>
            <w:tcW w:w="0" w:type="auto"/>
            <w:tcBorders>
              <w:top w:val="single" w:sz="4" w:space="0" w:color="auto"/>
              <w:left w:val="nil"/>
              <w:bottom w:val="nil"/>
              <w:right w:val="nil"/>
            </w:tcBorders>
            <w:shd w:val="clear" w:color="auto" w:fill="auto"/>
            <w:vAlign w:val="center"/>
            <w:hideMark/>
          </w:tcPr>
          <w:p w14:paraId="6A39FCC0"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2007</w:t>
            </w:r>
          </w:p>
        </w:tc>
        <w:tc>
          <w:tcPr>
            <w:tcW w:w="0" w:type="auto"/>
            <w:tcBorders>
              <w:top w:val="single" w:sz="4" w:space="0" w:color="auto"/>
              <w:left w:val="nil"/>
              <w:bottom w:val="nil"/>
              <w:right w:val="nil"/>
            </w:tcBorders>
            <w:shd w:val="clear" w:color="auto" w:fill="auto"/>
            <w:vAlign w:val="center"/>
            <w:hideMark/>
          </w:tcPr>
          <w:p w14:paraId="4DA24B48"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2.429.138,38</w:t>
            </w:r>
          </w:p>
        </w:tc>
        <w:tc>
          <w:tcPr>
            <w:tcW w:w="0" w:type="auto"/>
            <w:tcBorders>
              <w:top w:val="single" w:sz="4" w:space="0" w:color="auto"/>
              <w:left w:val="nil"/>
              <w:bottom w:val="nil"/>
              <w:right w:val="nil"/>
            </w:tcBorders>
            <w:shd w:val="clear" w:color="auto" w:fill="auto"/>
            <w:vAlign w:val="center"/>
            <w:hideMark/>
          </w:tcPr>
          <w:p w14:paraId="662EFAD2"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2.429.138,38</w:t>
            </w:r>
          </w:p>
        </w:tc>
      </w:tr>
      <w:tr w:rsidR="004C21AE" w:rsidRPr="00731232" w14:paraId="5CD086D4" w14:textId="77777777" w:rsidTr="00B73F85">
        <w:trPr>
          <w:trHeight w:hRule="exact" w:val="312"/>
          <w:jc w:val="center"/>
        </w:trPr>
        <w:tc>
          <w:tcPr>
            <w:tcW w:w="0" w:type="auto"/>
            <w:tcBorders>
              <w:top w:val="nil"/>
              <w:left w:val="nil"/>
              <w:right w:val="nil"/>
            </w:tcBorders>
            <w:shd w:val="clear" w:color="auto" w:fill="auto"/>
            <w:vAlign w:val="center"/>
            <w:hideMark/>
          </w:tcPr>
          <w:p w14:paraId="00F3935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2008</w:t>
            </w:r>
          </w:p>
        </w:tc>
        <w:tc>
          <w:tcPr>
            <w:tcW w:w="0" w:type="auto"/>
            <w:tcBorders>
              <w:top w:val="nil"/>
              <w:left w:val="nil"/>
              <w:right w:val="nil"/>
            </w:tcBorders>
            <w:shd w:val="clear" w:color="auto" w:fill="auto"/>
            <w:vAlign w:val="center"/>
            <w:hideMark/>
          </w:tcPr>
          <w:p w14:paraId="1B678310"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3.752.408,92</w:t>
            </w:r>
          </w:p>
        </w:tc>
        <w:tc>
          <w:tcPr>
            <w:tcW w:w="0" w:type="auto"/>
            <w:tcBorders>
              <w:top w:val="nil"/>
              <w:left w:val="nil"/>
              <w:right w:val="nil"/>
            </w:tcBorders>
            <w:shd w:val="clear" w:color="auto" w:fill="auto"/>
            <w:vAlign w:val="center"/>
            <w:hideMark/>
          </w:tcPr>
          <w:p w14:paraId="6D1BC139"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3.752.408,92</w:t>
            </w:r>
          </w:p>
        </w:tc>
      </w:tr>
      <w:tr w:rsidR="004C21AE" w:rsidRPr="00731232" w14:paraId="771EDD9B" w14:textId="77777777" w:rsidTr="00B73F85">
        <w:trPr>
          <w:trHeight w:hRule="exact" w:val="312"/>
          <w:jc w:val="center"/>
        </w:trPr>
        <w:tc>
          <w:tcPr>
            <w:tcW w:w="0" w:type="auto"/>
            <w:tcBorders>
              <w:top w:val="nil"/>
              <w:left w:val="nil"/>
              <w:right w:val="nil"/>
            </w:tcBorders>
            <w:shd w:val="clear" w:color="auto" w:fill="auto"/>
            <w:vAlign w:val="center"/>
            <w:hideMark/>
          </w:tcPr>
          <w:p w14:paraId="46D1507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2011</w:t>
            </w:r>
          </w:p>
        </w:tc>
        <w:tc>
          <w:tcPr>
            <w:tcW w:w="0" w:type="auto"/>
            <w:tcBorders>
              <w:top w:val="nil"/>
              <w:left w:val="nil"/>
              <w:right w:val="nil"/>
            </w:tcBorders>
            <w:shd w:val="clear" w:color="auto" w:fill="auto"/>
            <w:vAlign w:val="center"/>
            <w:hideMark/>
          </w:tcPr>
          <w:p w14:paraId="67083905"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215.490,06</w:t>
            </w:r>
          </w:p>
        </w:tc>
        <w:tc>
          <w:tcPr>
            <w:tcW w:w="0" w:type="auto"/>
            <w:tcBorders>
              <w:top w:val="nil"/>
              <w:left w:val="nil"/>
              <w:right w:val="nil"/>
            </w:tcBorders>
            <w:shd w:val="clear" w:color="auto" w:fill="auto"/>
            <w:vAlign w:val="center"/>
            <w:hideMark/>
          </w:tcPr>
          <w:p w14:paraId="41806E93"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215.490,06</w:t>
            </w:r>
          </w:p>
        </w:tc>
      </w:tr>
      <w:tr w:rsidR="004C21AE" w:rsidRPr="00731232" w14:paraId="418CC671" w14:textId="77777777" w:rsidTr="00B73F85">
        <w:trPr>
          <w:trHeight w:hRule="exact" w:val="328"/>
          <w:jc w:val="center"/>
        </w:trPr>
        <w:tc>
          <w:tcPr>
            <w:tcW w:w="0" w:type="auto"/>
            <w:tcBorders>
              <w:left w:val="nil"/>
              <w:bottom w:val="single" w:sz="4" w:space="0" w:color="auto"/>
              <w:right w:val="nil"/>
            </w:tcBorders>
            <w:shd w:val="clear" w:color="auto" w:fill="auto"/>
            <w:vAlign w:val="center"/>
            <w:hideMark/>
          </w:tcPr>
          <w:p w14:paraId="76288C33" w14:textId="77777777" w:rsidR="004C21AE" w:rsidRPr="00731232" w:rsidRDefault="004C21AE" w:rsidP="004C21AE">
            <w:pPr>
              <w:widowControl/>
              <w:autoSpaceDE/>
              <w:autoSpaceDN/>
              <w:adjustRightInd/>
              <w:jc w:val="both"/>
              <w:rPr>
                <w:rFonts w:ascii="Times New Roman" w:hAnsi="Times New Roman" w:cs="Times New Roman"/>
                <w:sz w:val="18"/>
                <w:szCs w:val="18"/>
              </w:rPr>
            </w:pPr>
            <w:r w:rsidRPr="00731232">
              <w:rPr>
                <w:rFonts w:ascii="Times New Roman" w:hAnsi="Times New Roman" w:cs="Times New Roman"/>
                <w:sz w:val="18"/>
                <w:szCs w:val="18"/>
              </w:rPr>
              <w:t>Ejercicio 2022</w:t>
            </w:r>
          </w:p>
        </w:tc>
        <w:tc>
          <w:tcPr>
            <w:tcW w:w="0" w:type="auto"/>
            <w:tcBorders>
              <w:left w:val="nil"/>
              <w:bottom w:val="single" w:sz="4" w:space="0" w:color="auto"/>
              <w:right w:val="nil"/>
            </w:tcBorders>
            <w:shd w:val="clear" w:color="auto" w:fill="auto"/>
            <w:vAlign w:val="center"/>
            <w:hideMark/>
          </w:tcPr>
          <w:p w14:paraId="0C977B57"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1.610.810,47</w:t>
            </w:r>
          </w:p>
        </w:tc>
        <w:tc>
          <w:tcPr>
            <w:tcW w:w="0" w:type="auto"/>
            <w:tcBorders>
              <w:left w:val="nil"/>
              <w:bottom w:val="single" w:sz="4" w:space="0" w:color="auto"/>
              <w:right w:val="nil"/>
            </w:tcBorders>
            <w:shd w:val="clear" w:color="auto" w:fill="auto"/>
            <w:vAlign w:val="center"/>
            <w:hideMark/>
          </w:tcPr>
          <w:p w14:paraId="2A6360FE" w14:textId="77777777" w:rsidR="004C21AE" w:rsidRPr="00731232" w:rsidRDefault="004C21AE" w:rsidP="004C21AE">
            <w:pPr>
              <w:widowControl/>
              <w:autoSpaceDE/>
              <w:autoSpaceDN/>
              <w:adjustRightInd/>
              <w:jc w:val="center"/>
              <w:rPr>
                <w:rFonts w:ascii="Times New Roman" w:hAnsi="Times New Roman" w:cs="Times New Roman"/>
                <w:sz w:val="18"/>
                <w:szCs w:val="18"/>
              </w:rPr>
            </w:pPr>
            <w:r w:rsidRPr="00731232">
              <w:rPr>
                <w:rFonts w:ascii="Times New Roman" w:hAnsi="Times New Roman" w:cs="Times New Roman"/>
                <w:sz w:val="18"/>
                <w:szCs w:val="18"/>
              </w:rPr>
              <w:t>0,00</w:t>
            </w:r>
          </w:p>
        </w:tc>
      </w:tr>
      <w:tr w:rsidR="004C21AE" w:rsidRPr="00731232" w14:paraId="0EEDC25F" w14:textId="77777777" w:rsidTr="00B73F85">
        <w:trPr>
          <w:trHeight w:hRule="exact" w:val="328"/>
          <w:jc w:val="center"/>
        </w:trPr>
        <w:tc>
          <w:tcPr>
            <w:tcW w:w="0" w:type="auto"/>
            <w:tcBorders>
              <w:top w:val="single" w:sz="4" w:space="0" w:color="auto"/>
              <w:left w:val="nil"/>
              <w:bottom w:val="single" w:sz="4" w:space="0" w:color="auto"/>
              <w:right w:val="nil"/>
            </w:tcBorders>
            <w:shd w:val="clear" w:color="auto" w:fill="auto"/>
            <w:vAlign w:val="center"/>
            <w:hideMark/>
          </w:tcPr>
          <w:p w14:paraId="50A5B28B" w14:textId="77777777" w:rsidR="004C21AE" w:rsidRPr="00731232" w:rsidRDefault="004C21AE" w:rsidP="00D5230C">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TOTALES</w:t>
            </w:r>
          </w:p>
        </w:tc>
        <w:tc>
          <w:tcPr>
            <w:tcW w:w="0" w:type="auto"/>
            <w:tcBorders>
              <w:top w:val="single" w:sz="4" w:space="0" w:color="auto"/>
              <w:left w:val="nil"/>
              <w:bottom w:val="single" w:sz="4" w:space="0" w:color="auto"/>
              <w:right w:val="nil"/>
            </w:tcBorders>
            <w:shd w:val="clear" w:color="auto" w:fill="auto"/>
            <w:vAlign w:val="center"/>
            <w:hideMark/>
          </w:tcPr>
          <w:p w14:paraId="7FBF61FF"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8.007.847,83</w:t>
            </w:r>
          </w:p>
        </w:tc>
        <w:tc>
          <w:tcPr>
            <w:tcW w:w="0" w:type="auto"/>
            <w:tcBorders>
              <w:top w:val="single" w:sz="4" w:space="0" w:color="auto"/>
              <w:left w:val="nil"/>
              <w:bottom w:val="single" w:sz="4" w:space="0" w:color="auto"/>
              <w:right w:val="nil"/>
            </w:tcBorders>
            <w:shd w:val="clear" w:color="auto" w:fill="auto"/>
            <w:vAlign w:val="center"/>
            <w:hideMark/>
          </w:tcPr>
          <w:p w14:paraId="6C1F7C3B" w14:textId="77777777" w:rsidR="004C21AE" w:rsidRPr="00731232" w:rsidRDefault="004C21AE" w:rsidP="004C21AE">
            <w:pPr>
              <w:widowControl/>
              <w:autoSpaceDE/>
              <w:autoSpaceDN/>
              <w:adjustRightInd/>
              <w:jc w:val="center"/>
              <w:rPr>
                <w:rFonts w:ascii="Times New Roman" w:hAnsi="Times New Roman" w:cs="Times New Roman"/>
                <w:b/>
                <w:bCs/>
                <w:sz w:val="18"/>
                <w:szCs w:val="18"/>
              </w:rPr>
            </w:pPr>
            <w:r w:rsidRPr="00731232">
              <w:rPr>
                <w:rFonts w:ascii="Times New Roman" w:hAnsi="Times New Roman" w:cs="Times New Roman"/>
                <w:b/>
                <w:bCs/>
                <w:sz w:val="18"/>
                <w:szCs w:val="18"/>
              </w:rPr>
              <w:t>6.397.037,36</w:t>
            </w:r>
          </w:p>
        </w:tc>
      </w:tr>
    </w:tbl>
    <w:p w14:paraId="13A7CB3E" w14:textId="272CD290" w:rsidR="004C21AE" w:rsidRDefault="004C21AE" w:rsidP="009B4B09">
      <w:pPr>
        <w:shd w:val="clear" w:color="auto" w:fill="FFFFFF"/>
        <w:ind w:firstLine="709"/>
        <w:jc w:val="both"/>
        <w:rPr>
          <w:rFonts w:ascii="Times New Roman" w:hAnsi="Times New Roman" w:cs="Times New Roman"/>
          <w:spacing w:val="-3"/>
          <w:sz w:val="22"/>
          <w:szCs w:val="22"/>
          <w:lang w:val="es-ES_tradnl" w:eastAsia="es-ES_tradnl"/>
        </w:rPr>
      </w:pPr>
    </w:p>
    <w:p w14:paraId="16AE557A" w14:textId="77777777" w:rsidR="00807C63" w:rsidRPr="00C8275B" w:rsidRDefault="00807C63" w:rsidP="00807C63">
      <w:pPr>
        <w:shd w:val="clear" w:color="auto" w:fill="FFFFFF"/>
        <w:ind w:left="720" w:right="7"/>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La Sociedad tiene abiertos a inspección todos los impuestos a que viene obligada desde el </w:t>
      </w:r>
      <w:r w:rsidRPr="00C8275B">
        <w:rPr>
          <w:rFonts w:ascii="Times New Roman" w:hAnsi="Times New Roman" w:cs="Times New Roman"/>
          <w:spacing w:val="-3"/>
          <w:sz w:val="22"/>
          <w:szCs w:val="22"/>
          <w:lang w:val="es-ES_tradnl" w:eastAsia="es-ES_tradnl"/>
        </w:rPr>
        <w:t>ejercicio de 2016. En opinión de la Dirección de la Sociedad no existen contingencias de importes significativos que pudieran derivarse de la revisión de los años abiertos a inspección.</w:t>
      </w:r>
    </w:p>
    <w:p w14:paraId="3911E770" w14:textId="77777777" w:rsidR="00807C63" w:rsidRPr="00C8275B" w:rsidRDefault="00807C63" w:rsidP="00807C63">
      <w:pPr>
        <w:shd w:val="clear" w:color="auto" w:fill="FFFFFF"/>
        <w:ind w:left="720" w:right="7"/>
        <w:jc w:val="both"/>
        <w:rPr>
          <w:rFonts w:ascii="Times New Roman" w:hAnsi="Times New Roman" w:cs="Times New Roman"/>
          <w:spacing w:val="-3"/>
          <w:sz w:val="22"/>
          <w:szCs w:val="22"/>
          <w:lang w:val="es-ES_tradnl" w:eastAsia="es-ES_tradnl"/>
        </w:rPr>
      </w:pPr>
    </w:p>
    <w:p w14:paraId="7EE87D6A" w14:textId="77777777" w:rsidR="00807C63" w:rsidRPr="00C8275B" w:rsidRDefault="00807C63" w:rsidP="00807C63">
      <w:pPr>
        <w:shd w:val="clear" w:color="auto" w:fill="FFFFFF"/>
        <w:ind w:left="720" w:right="4"/>
        <w:jc w:val="both"/>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Según las disposiciones legales vigentes las liquidaciones de impuestos no pueden </w:t>
      </w:r>
      <w:r w:rsidRPr="00C8275B">
        <w:rPr>
          <w:rFonts w:ascii="Times New Roman" w:hAnsi="Times New Roman" w:cs="Times New Roman"/>
          <w:spacing w:val="-2"/>
          <w:sz w:val="22"/>
          <w:szCs w:val="22"/>
          <w:lang w:val="es-ES_tradnl" w:eastAsia="es-ES_tradnl"/>
        </w:rPr>
        <w:t xml:space="preserve">considerarse definitivas hasta que no han sido inspeccionadas por las autoridades fiscales o ha </w:t>
      </w:r>
      <w:r w:rsidRPr="00C8275B">
        <w:rPr>
          <w:rFonts w:ascii="Times New Roman" w:hAnsi="Times New Roman" w:cs="Times New Roman"/>
          <w:sz w:val="22"/>
          <w:szCs w:val="22"/>
          <w:lang w:val="es-ES_tradnl" w:eastAsia="es-ES_tradnl"/>
        </w:rPr>
        <w:t>transcurrido el plazo de prescripción de cuatro años.</w:t>
      </w:r>
    </w:p>
    <w:p w14:paraId="38204185" w14:textId="4B395F24" w:rsidR="00807C63" w:rsidRDefault="00807C63" w:rsidP="00807C63">
      <w:pPr>
        <w:shd w:val="clear" w:color="auto" w:fill="FFFFFF"/>
        <w:ind w:left="720" w:right="4"/>
        <w:jc w:val="both"/>
        <w:rPr>
          <w:rFonts w:ascii="Times New Roman" w:hAnsi="Times New Roman" w:cs="Times New Roman"/>
          <w:sz w:val="22"/>
          <w:szCs w:val="22"/>
          <w:lang w:val="es-ES_tradnl" w:eastAsia="es-ES_tradnl"/>
        </w:rPr>
      </w:pPr>
    </w:p>
    <w:p w14:paraId="487E6874" w14:textId="77777777" w:rsidR="00807C63" w:rsidRPr="00C8275B" w:rsidRDefault="00807C63" w:rsidP="00807C63">
      <w:pPr>
        <w:tabs>
          <w:tab w:val="left" w:pos="-720"/>
          <w:tab w:val="left" w:pos="0"/>
        </w:tabs>
        <w:suppressAutoHyphens/>
        <w:ind w:left="720" w:right="-26"/>
        <w:jc w:val="both"/>
        <w:rPr>
          <w:rFonts w:ascii="Times New Roman" w:hAnsi="Times New Roman" w:cs="Times New Roman"/>
          <w:spacing w:val="-3"/>
          <w:sz w:val="22"/>
          <w:szCs w:val="22"/>
          <w:lang w:eastAsia="es-ES_tradnl"/>
        </w:rPr>
      </w:pPr>
      <w:r w:rsidRPr="00C8275B">
        <w:rPr>
          <w:rFonts w:ascii="Times New Roman" w:hAnsi="Times New Roman" w:cs="Times New Roman"/>
          <w:sz w:val="22"/>
          <w:szCs w:val="22"/>
          <w:lang w:val="es-ES_tradnl" w:eastAsia="es-ES_tradnl"/>
        </w:rPr>
        <w:t xml:space="preserve">En el presente ejercicio se ha devuelto por parte de la Comunidad Autónoma de Canarias el importe que figuraba recogido en ejercicios anteriores en el epígrafe de “Deudas comerciales y otras cuentas a cobrar” del activo corriente del balance, correspondientes a las autoliquidaciones del Impuesto General Indirecto Canario correspondientes a los ejercicios 2016, 2017, 2018, 2019 y 2020, a tenor de la firmeza de la Sentencia </w:t>
      </w:r>
      <w:proofErr w:type="spellStart"/>
      <w:r w:rsidRPr="00C8275B">
        <w:rPr>
          <w:rFonts w:ascii="Times New Roman" w:hAnsi="Times New Roman" w:cs="Times New Roman"/>
          <w:sz w:val="22"/>
          <w:szCs w:val="22"/>
          <w:lang w:val="es-ES_tradnl" w:eastAsia="es-ES_tradnl"/>
        </w:rPr>
        <w:t>nº</w:t>
      </w:r>
      <w:proofErr w:type="spellEnd"/>
      <w:r w:rsidRPr="00C8275B">
        <w:rPr>
          <w:rFonts w:ascii="Times New Roman" w:hAnsi="Times New Roman" w:cs="Times New Roman"/>
          <w:sz w:val="22"/>
          <w:szCs w:val="22"/>
          <w:lang w:val="es-ES_tradnl" w:eastAsia="es-ES_tradnl"/>
        </w:rPr>
        <w:t xml:space="preserve"> 439/2020 de la Sección Segunda de la Sala de lo Contencioso-Administrativo del Tribunal Supremo, en la que estimaba la reclamación de la entidad contra la Administración Tributaria</w:t>
      </w:r>
      <w:r w:rsidRPr="00C8275B">
        <w:rPr>
          <w:rFonts w:ascii="Times New Roman" w:hAnsi="Times New Roman" w:cs="Times New Roman"/>
          <w:spacing w:val="-3"/>
          <w:sz w:val="22"/>
          <w:szCs w:val="22"/>
          <w:lang w:eastAsia="es-ES_tradnl"/>
        </w:rPr>
        <w:t>.</w:t>
      </w:r>
    </w:p>
    <w:p w14:paraId="3FF741CE" w14:textId="0BA4421F" w:rsidR="00BF65AE" w:rsidRPr="00CA63F6" w:rsidRDefault="00BF65AE" w:rsidP="009F783D">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34DF01AD" w14:textId="77777777" w:rsidR="00CA63F6" w:rsidRPr="00CA63F6" w:rsidRDefault="00CA63F6" w:rsidP="00CA63F6">
      <w:pPr>
        <w:ind w:left="72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Durante el ejercicio 2021 se inició un nuevo procedimiento administrativo, correspondiente a la revisión del Impuesto General Indirecto Canario (IGIC), ejercicios comprendidos entre el 01/07/2017 y el 31/12/2020, por la Dependencia de Inspección de la Agencia Tributaria Canaria. A la fecha de formulación de las presentes Cuentas Anuales, la situación de dicho procedimiento es la siguiente:</w:t>
      </w:r>
    </w:p>
    <w:p w14:paraId="6A501154" w14:textId="77777777" w:rsidR="00CA63F6" w:rsidRPr="00CA63F6" w:rsidRDefault="00CA63F6" w:rsidP="00CA63F6">
      <w:pPr>
        <w:ind w:left="720"/>
        <w:jc w:val="both"/>
        <w:rPr>
          <w:rFonts w:ascii="Times New Roman" w:hAnsi="Times New Roman" w:cs="Times New Roman"/>
          <w:sz w:val="22"/>
          <w:szCs w:val="22"/>
          <w:lang w:val="es-ES_tradnl" w:eastAsia="es-ES_tradnl"/>
        </w:rPr>
      </w:pPr>
    </w:p>
    <w:p w14:paraId="1CB5A84C" w14:textId="6F3496E6"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lastRenderedPageBreak/>
        <w:t>Con fecha 17/03/2023, en las Dependencias de la Inspección Tributaria, la sociedad formalizó acta de disconformidad núm. ADS2021000059805506, con el actuario D. Sebastián Marrero Pulido, resultando un</w:t>
      </w:r>
      <w:r>
        <w:rPr>
          <w:rFonts w:ascii="Times New Roman" w:hAnsi="Times New Roman" w:cs="Times New Roman"/>
          <w:sz w:val="22"/>
          <w:szCs w:val="22"/>
          <w:lang w:val="es-ES_tradnl" w:eastAsia="es-ES_tradnl"/>
        </w:rPr>
        <w:t>a</w:t>
      </w:r>
      <w:r w:rsidRPr="00CA63F6">
        <w:rPr>
          <w:rFonts w:ascii="Times New Roman" w:hAnsi="Times New Roman" w:cs="Times New Roman"/>
          <w:sz w:val="22"/>
          <w:szCs w:val="22"/>
          <w:lang w:val="es-ES_tradnl" w:eastAsia="es-ES_tradnl"/>
        </w:rPr>
        <w:t xml:space="preserve"> propuesta de liquidación definitiva por importe de 554.810,36€ de cuota, más 35.878,18€ de intereses de demora, lo que hace un total de deuda tributaria de 590.688,54€.</w:t>
      </w:r>
    </w:p>
    <w:p w14:paraId="00062ADA" w14:textId="77777777" w:rsidR="00CA63F6" w:rsidRPr="00CA63F6" w:rsidRDefault="00CA63F6" w:rsidP="00CA63F6">
      <w:pPr>
        <w:pStyle w:val="Prrafodelista"/>
        <w:ind w:left="1080"/>
        <w:jc w:val="both"/>
        <w:rPr>
          <w:rFonts w:ascii="Times New Roman" w:hAnsi="Times New Roman" w:cs="Times New Roman"/>
          <w:sz w:val="22"/>
          <w:szCs w:val="22"/>
          <w:lang w:val="es-ES_tradnl" w:eastAsia="es-ES_tradnl"/>
        </w:rPr>
      </w:pPr>
    </w:p>
    <w:p w14:paraId="07A6AC5D" w14:textId="77777777"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En oposición a dicho acto administrativo, PROMOCIÓN formalizó alegaciones al acta de disconformidad referida mediante escrito de fecha 11/04/2023.</w:t>
      </w:r>
    </w:p>
    <w:p w14:paraId="202F23FC" w14:textId="77777777" w:rsidR="00CA63F6" w:rsidRPr="00CA63F6" w:rsidRDefault="00CA63F6" w:rsidP="00CA63F6">
      <w:pPr>
        <w:pStyle w:val="Prrafodelista"/>
        <w:rPr>
          <w:rFonts w:ascii="Times New Roman" w:hAnsi="Times New Roman" w:cs="Times New Roman"/>
          <w:sz w:val="22"/>
          <w:szCs w:val="22"/>
          <w:lang w:val="es-ES_tradnl" w:eastAsia="es-ES_tradnl"/>
        </w:rPr>
      </w:pPr>
    </w:p>
    <w:p w14:paraId="4B844485" w14:textId="77777777" w:rsidR="00CA63F6" w:rsidRPr="00CA63F6" w:rsidRDefault="00CA63F6" w:rsidP="00CA63F6">
      <w:pPr>
        <w:pStyle w:val="Prrafodelista"/>
        <w:widowControl/>
        <w:numPr>
          <w:ilvl w:val="0"/>
          <w:numId w:val="16"/>
        </w:numPr>
        <w:autoSpaceDE/>
        <w:autoSpaceDN/>
        <w:adjustRightInd/>
        <w:contextualSpacing w:val="0"/>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Con fecha  17/04/2023, la sociedad fue notificada en el buzón de su sede electrónica del acuerdo de liquidación, Resolución núm. 22/2023, dictado por la Inspectora Jefe de la Jefatura Territorial de Inspección con fecha 12/04/2023, derivado del acta (A02) de disconformidad núm. ADS2021000059805506, confirmando la propuesta de liquidación referida en el acta, por importe de 554.810,36€ de cuota, más 35.939,94€ de intereses de demora, lo que hace un total de deuda tributaria de 590.750,30€, produciéndose una pequeña diferencia con el importe que venía reflejado en el acta suscrita.</w:t>
      </w:r>
    </w:p>
    <w:p w14:paraId="2C457F01" w14:textId="77777777" w:rsidR="00CA63F6" w:rsidRPr="00CA63F6" w:rsidRDefault="00CA63F6" w:rsidP="00CA63F6">
      <w:pPr>
        <w:pStyle w:val="Prrafodelista"/>
        <w:rPr>
          <w:rFonts w:ascii="Times New Roman" w:hAnsi="Times New Roman" w:cs="Times New Roman"/>
          <w:sz w:val="22"/>
          <w:szCs w:val="22"/>
          <w:lang w:val="es-ES_tradnl" w:eastAsia="es-ES_tradnl"/>
        </w:rPr>
      </w:pPr>
    </w:p>
    <w:p w14:paraId="27CC0438" w14:textId="7352C763" w:rsidR="006B68D2" w:rsidRDefault="00CA63F6" w:rsidP="00CA63F6">
      <w:pPr>
        <w:tabs>
          <w:tab w:val="left" w:pos="-720"/>
          <w:tab w:val="left" w:pos="0"/>
        </w:tabs>
        <w:suppressAutoHyphens/>
        <w:ind w:left="720" w:right="-26"/>
        <w:jc w:val="both"/>
        <w:rPr>
          <w:rFonts w:ascii="Times New Roman" w:hAnsi="Times New Roman" w:cs="Times New Roman"/>
          <w:sz w:val="22"/>
          <w:szCs w:val="22"/>
          <w:lang w:val="es-ES_tradnl" w:eastAsia="es-ES_tradnl"/>
        </w:rPr>
      </w:pPr>
      <w:r w:rsidRPr="00CA63F6">
        <w:rPr>
          <w:rFonts w:ascii="Times New Roman" w:hAnsi="Times New Roman" w:cs="Times New Roman"/>
          <w:sz w:val="22"/>
          <w:szCs w:val="22"/>
          <w:lang w:val="es-ES_tradnl" w:eastAsia="es-ES_tradnl"/>
        </w:rPr>
        <w:t>Actualmente, a fin de impugnar la resolución anterior, la sociedad está en curso de preparación de la oportuna reclamación económica administrativa, cuya tramitación corresponde a la Junta Económica Administrativa de Canarias, siendo el plazo de vencimiento para su presentación el día 17/05/2023</w:t>
      </w:r>
      <w:r>
        <w:rPr>
          <w:rFonts w:ascii="Times New Roman" w:hAnsi="Times New Roman" w:cs="Times New Roman"/>
          <w:sz w:val="22"/>
          <w:szCs w:val="22"/>
          <w:lang w:val="es-ES_tradnl" w:eastAsia="es-ES_tradnl"/>
        </w:rPr>
        <w:t>.</w:t>
      </w:r>
      <w:r w:rsidR="006B68D2">
        <w:rPr>
          <w:rFonts w:ascii="Times New Roman" w:hAnsi="Times New Roman" w:cs="Times New Roman"/>
          <w:sz w:val="22"/>
          <w:szCs w:val="22"/>
          <w:lang w:val="es-ES_tradnl" w:eastAsia="es-ES_tradnl"/>
        </w:rPr>
        <w:t xml:space="preserve"> </w:t>
      </w:r>
    </w:p>
    <w:p w14:paraId="6E00E1D8" w14:textId="32E51EBF" w:rsidR="006B68D2" w:rsidRDefault="006B68D2" w:rsidP="00BF65AE">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3841FE46" w14:textId="77777777" w:rsidR="006B68D2" w:rsidRPr="00BF65AE" w:rsidRDefault="006B68D2" w:rsidP="00BF65AE">
      <w:pPr>
        <w:tabs>
          <w:tab w:val="left" w:pos="-720"/>
          <w:tab w:val="left" w:pos="0"/>
        </w:tabs>
        <w:suppressAutoHyphens/>
        <w:ind w:left="720" w:right="-26"/>
        <w:jc w:val="both"/>
        <w:rPr>
          <w:rFonts w:ascii="Times New Roman" w:hAnsi="Times New Roman" w:cs="Times New Roman"/>
          <w:sz w:val="22"/>
          <w:szCs w:val="22"/>
          <w:lang w:val="es-ES_tradnl" w:eastAsia="es-ES_tradnl"/>
        </w:rPr>
      </w:pPr>
    </w:p>
    <w:p w14:paraId="46DD0097" w14:textId="1327978A" w:rsidR="0085082D" w:rsidRPr="00C8275B" w:rsidRDefault="0076239A" w:rsidP="0085082D">
      <w:pPr>
        <w:shd w:val="clear" w:color="auto" w:fill="FFFFFF"/>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1</w:t>
      </w:r>
      <w:r w:rsidR="008513D2" w:rsidRPr="00C8275B">
        <w:rPr>
          <w:rFonts w:ascii="Times New Roman" w:hAnsi="Times New Roman" w:cs="Times New Roman"/>
          <w:b/>
          <w:bCs/>
          <w:spacing w:val="-3"/>
          <w:sz w:val="22"/>
          <w:szCs w:val="22"/>
          <w:lang w:val="es-ES_tradnl" w:eastAsia="es-ES_tradnl"/>
        </w:rPr>
        <w:t>1</w:t>
      </w:r>
      <w:r w:rsidR="0085082D" w:rsidRPr="00C8275B">
        <w:rPr>
          <w:rFonts w:ascii="Times New Roman" w:hAnsi="Times New Roman" w:cs="Times New Roman"/>
          <w:b/>
          <w:bCs/>
          <w:spacing w:val="-3"/>
          <w:sz w:val="22"/>
          <w:szCs w:val="22"/>
          <w:lang w:val="es-ES_tradnl" w:eastAsia="es-ES_tradnl"/>
        </w:rPr>
        <w:t xml:space="preserve">. </w:t>
      </w:r>
      <w:r w:rsidR="0085082D" w:rsidRPr="00C8275B">
        <w:rPr>
          <w:rFonts w:ascii="Times New Roman" w:hAnsi="Times New Roman" w:cs="Times New Roman"/>
          <w:b/>
          <w:bCs/>
          <w:spacing w:val="-3"/>
          <w:sz w:val="22"/>
          <w:szCs w:val="22"/>
          <w:u w:val="double"/>
          <w:lang w:val="es-ES_tradnl" w:eastAsia="es-ES_tradnl"/>
        </w:rPr>
        <w:t>INGRESOS Y GASTOS</w:t>
      </w:r>
    </w:p>
    <w:p w14:paraId="276C7AEC" w14:textId="77777777" w:rsidR="0085082D" w:rsidRPr="00C8275B" w:rsidRDefault="0085082D" w:rsidP="0085082D">
      <w:pPr>
        <w:spacing w:line="276" w:lineRule="auto"/>
        <w:jc w:val="both"/>
        <w:rPr>
          <w:rFonts w:ascii="Times New Roman" w:hAnsi="Times New Roman" w:cs="Times New Roman"/>
        </w:rPr>
      </w:pPr>
    </w:p>
    <w:p w14:paraId="07B46FF4" w14:textId="77777777" w:rsidR="0085082D" w:rsidRPr="00C8275B" w:rsidRDefault="0085082D" w:rsidP="0085082D">
      <w:pPr>
        <w:shd w:val="clear" w:color="auto" w:fill="FFFFFF"/>
        <w:ind w:left="720" w:right="7"/>
        <w:jc w:val="both"/>
        <w:rPr>
          <w:rFonts w:ascii="Times New Roman" w:hAnsi="Times New Roman" w:cs="Times New Roman"/>
          <w:b/>
          <w:spacing w:val="-2"/>
          <w:sz w:val="22"/>
          <w:szCs w:val="22"/>
          <w:u w:val="single"/>
          <w:lang w:val="es-ES_tradnl" w:eastAsia="es-ES_tradnl"/>
        </w:rPr>
      </w:pPr>
      <w:r w:rsidRPr="00C8275B">
        <w:rPr>
          <w:rFonts w:ascii="Times New Roman" w:hAnsi="Times New Roman" w:cs="Times New Roman"/>
          <w:b/>
          <w:spacing w:val="-2"/>
          <w:sz w:val="22"/>
          <w:szCs w:val="22"/>
          <w:u w:val="single"/>
          <w:lang w:val="es-ES_tradnl" w:eastAsia="es-ES_tradnl"/>
        </w:rPr>
        <w:t>Cargas sociales:</w:t>
      </w:r>
    </w:p>
    <w:p w14:paraId="30378A4E" w14:textId="77777777" w:rsidR="0085082D" w:rsidRPr="00C8275B"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p>
    <w:p w14:paraId="5DC1A1AF" w14:textId="77777777" w:rsidR="0085082D" w:rsidRPr="00C8275B" w:rsidRDefault="0085082D" w:rsidP="0085082D">
      <w:pPr>
        <w:shd w:val="clear" w:color="auto" w:fill="FFFFFF"/>
        <w:ind w:left="720" w:right="7"/>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detalle de las cargas sociales es el siguiente:</w:t>
      </w:r>
    </w:p>
    <w:p w14:paraId="68649E1F" w14:textId="77777777" w:rsidR="0085082D" w:rsidRPr="00C8275B" w:rsidRDefault="0085082D" w:rsidP="0085082D">
      <w:pPr>
        <w:spacing w:line="276" w:lineRule="auto"/>
        <w:jc w:val="both"/>
        <w:rPr>
          <w:rFonts w:ascii="Times New Roman" w:hAnsi="Times New Roman" w:cs="Times New Roman"/>
          <w:color w:val="0000FF"/>
        </w:rPr>
      </w:pPr>
    </w:p>
    <w:tbl>
      <w:tblPr>
        <w:tblW w:w="7020" w:type="dxa"/>
        <w:jc w:val="center"/>
        <w:tblCellMar>
          <w:left w:w="70" w:type="dxa"/>
          <w:right w:w="70" w:type="dxa"/>
        </w:tblCellMar>
        <w:tblLook w:val="04A0" w:firstRow="1" w:lastRow="0" w:firstColumn="1" w:lastColumn="0" w:noHBand="0" w:noVBand="1"/>
      </w:tblPr>
      <w:tblGrid>
        <w:gridCol w:w="4020"/>
        <w:gridCol w:w="1460"/>
        <w:gridCol w:w="1540"/>
      </w:tblGrid>
      <w:tr w:rsidR="0085082D" w:rsidRPr="00C8275B" w14:paraId="3FC2CFC3" w14:textId="77777777" w:rsidTr="00B73F85">
        <w:trPr>
          <w:trHeight w:val="300"/>
          <w:jc w:val="center"/>
        </w:trPr>
        <w:tc>
          <w:tcPr>
            <w:tcW w:w="4020" w:type="dxa"/>
            <w:tcBorders>
              <w:top w:val="single" w:sz="4" w:space="0" w:color="auto"/>
              <w:left w:val="nil"/>
              <w:bottom w:val="single" w:sz="4" w:space="0" w:color="auto"/>
              <w:right w:val="nil"/>
            </w:tcBorders>
            <w:shd w:val="clear" w:color="auto" w:fill="FFFFFF" w:themeFill="background1"/>
            <w:vAlign w:val="center"/>
            <w:hideMark/>
          </w:tcPr>
          <w:p w14:paraId="77130C83" w14:textId="77777777" w:rsidR="0085082D" w:rsidRPr="00C8275B" w:rsidRDefault="0085082D" w:rsidP="0085082D">
            <w:pPr>
              <w:rPr>
                <w:rFonts w:ascii="Times New Roman" w:hAnsi="Times New Roman" w:cs="Times New Roman"/>
                <w:color w:val="0000FF"/>
                <w:sz w:val="18"/>
              </w:rPr>
            </w:pPr>
            <w:r w:rsidRPr="00C8275B">
              <w:rPr>
                <w:rFonts w:ascii="Times New Roman" w:hAnsi="Times New Roman" w:cs="Times New Roman"/>
                <w:color w:val="0000FF"/>
                <w:sz w:val="18"/>
              </w:rPr>
              <w:t> </w:t>
            </w:r>
          </w:p>
        </w:tc>
        <w:tc>
          <w:tcPr>
            <w:tcW w:w="1460" w:type="dxa"/>
            <w:tcBorders>
              <w:top w:val="single" w:sz="4" w:space="0" w:color="auto"/>
              <w:left w:val="nil"/>
              <w:bottom w:val="single" w:sz="4" w:space="0" w:color="auto"/>
              <w:right w:val="nil"/>
            </w:tcBorders>
            <w:shd w:val="clear" w:color="auto" w:fill="FFFFFF" w:themeFill="background1"/>
            <w:vAlign w:val="center"/>
            <w:hideMark/>
          </w:tcPr>
          <w:p w14:paraId="30D3E418" w14:textId="66505F5B" w:rsidR="0085082D" w:rsidRPr="00C8275B" w:rsidRDefault="00ED4F1B" w:rsidP="00ED4F1B">
            <w:pPr>
              <w:jc w:val="center"/>
              <w:rPr>
                <w:rFonts w:ascii="Times New Roman" w:hAnsi="Times New Roman" w:cs="Times New Roman"/>
                <w:b/>
                <w:bCs/>
                <w:sz w:val="18"/>
              </w:rPr>
            </w:pPr>
            <w:r w:rsidRPr="00C8275B">
              <w:rPr>
                <w:rFonts w:ascii="Times New Roman" w:hAnsi="Times New Roman" w:cs="Times New Roman"/>
                <w:b/>
                <w:bCs/>
                <w:sz w:val="18"/>
              </w:rPr>
              <w:t>2022</w:t>
            </w:r>
          </w:p>
        </w:tc>
        <w:tc>
          <w:tcPr>
            <w:tcW w:w="1540" w:type="dxa"/>
            <w:tcBorders>
              <w:top w:val="single" w:sz="4" w:space="0" w:color="auto"/>
              <w:left w:val="nil"/>
              <w:bottom w:val="single" w:sz="4" w:space="0" w:color="auto"/>
              <w:right w:val="nil"/>
            </w:tcBorders>
            <w:shd w:val="clear" w:color="auto" w:fill="FFFFFF" w:themeFill="background1"/>
            <w:vAlign w:val="center"/>
            <w:hideMark/>
          </w:tcPr>
          <w:p w14:paraId="4BE232C7" w14:textId="5DAE8041" w:rsidR="0085082D" w:rsidRPr="00C8275B" w:rsidRDefault="00ED4F1B" w:rsidP="00ED4F1B">
            <w:pPr>
              <w:jc w:val="center"/>
              <w:rPr>
                <w:rFonts w:ascii="Times New Roman" w:hAnsi="Times New Roman" w:cs="Times New Roman"/>
                <w:b/>
                <w:bCs/>
                <w:sz w:val="18"/>
              </w:rPr>
            </w:pPr>
            <w:r w:rsidRPr="00C8275B">
              <w:rPr>
                <w:rFonts w:ascii="Times New Roman" w:hAnsi="Times New Roman" w:cs="Times New Roman"/>
                <w:b/>
                <w:bCs/>
                <w:sz w:val="18"/>
              </w:rPr>
              <w:t>2021</w:t>
            </w:r>
          </w:p>
        </w:tc>
      </w:tr>
      <w:tr w:rsidR="00ED4F1B" w:rsidRPr="00C8275B" w14:paraId="64654C17" w14:textId="77777777" w:rsidTr="0085082D">
        <w:trPr>
          <w:trHeight w:val="300"/>
          <w:jc w:val="center"/>
        </w:trPr>
        <w:tc>
          <w:tcPr>
            <w:tcW w:w="4020" w:type="dxa"/>
            <w:tcBorders>
              <w:top w:val="nil"/>
              <w:left w:val="nil"/>
              <w:bottom w:val="nil"/>
              <w:right w:val="nil"/>
            </w:tcBorders>
            <w:shd w:val="clear" w:color="000000" w:fill="FFFFFF"/>
            <w:vAlign w:val="center"/>
            <w:hideMark/>
          </w:tcPr>
          <w:p w14:paraId="2FA95304" w14:textId="77777777" w:rsidR="00ED4F1B" w:rsidRPr="00C8275B" w:rsidRDefault="00ED4F1B" w:rsidP="0085082D">
            <w:pPr>
              <w:rPr>
                <w:rFonts w:ascii="Times New Roman" w:hAnsi="Times New Roman" w:cs="Times New Roman"/>
                <w:sz w:val="18"/>
              </w:rPr>
            </w:pPr>
            <w:r w:rsidRPr="00C8275B">
              <w:rPr>
                <w:rFonts w:ascii="Times New Roman" w:hAnsi="Times New Roman" w:cs="Times New Roman"/>
                <w:sz w:val="18"/>
              </w:rPr>
              <w:t>Seguridad Social a cargo de la empresa</w:t>
            </w:r>
          </w:p>
        </w:tc>
        <w:tc>
          <w:tcPr>
            <w:tcW w:w="1460" w:type="dxa"/>
            <w:tcBorders>
              <w:top w:val="nil"/>
              <w:left w:val="nil"/>
              <w:bottom w:val="nil"/>
              <w:right w:val="nil"/>
            </w:tcBorders>
            <w:shd w:val="clear" w:color="000000" w:fill="FFFFFF"/>
            <w:vAlign w:val="center"/>
            <w:hideMark/>
          </w:tcPr>
          <w:p w14:paraId="0DE29EDE" w14:textId="23BFEC1D" w:rsidR="00ED4F1B" w:rsidRPr="00C8275B" w:rsidRDefault="008E1ECC" w:rsidP="00B14FBA">
            <w:pPr>
              <w:jc w:val="center"/>
              <w:rPr>
                <w:rFonts w:ascii="Times New Roman" w:hAnsi="Times New Roman" w:cs="Times New Roman"/>
                <w:sz w:val="18"/>
              </w:rPr>
            </w:pPr>
            <w:r w:rsidRPr="00C8275B">
              <w:rPr>
                <w:rFonts w:ascii="Times New Roman" w:hAnsi="Times New Roman" w:cs="Times New Roman"/>
                <w:sz w:val="18"/>
              </w:rPr>
              <w:t>628</w:t>
            </w:r>
            <w:r w:rsidR="00ED4F1B" w:rsidRPr="00C8275B">
              <w:rPr>
                <w:rFonts w:ascii="Times New Roman" w:hAnsi="Times New Roman" w:cs="Times New Roman"/>
                <w:sz w:val="18"/>
              </w:rPr>
              <w:t>.</w:t>
            </w:r>
            <w:r w:rsidRPr="00C8275B">
              <w:rPr>
                <w:rFonts w:ascii="Times New Roman" w:hAnsi="Times New Roman" w:cs="Times New Roman"/>
                <w:sz w:val="18"/>
              </w:rPr>
              <w:t>227</w:t>
            </w:r>
            <w:r w:rsidR="00ED4F1B" w:rsidRPr="00C8275B">
              <w:rPr>
                <w:rFonts w:ascii="Times New Roman" w:hAnsi="Times New Roman" w:cs="Times New Roman"/>
                <w:sz w:val="18"/>
              </w:rPr>
              <w:t>,</w:t>
            </w:r>
            <w:r w:rsidRPr="00C8275B">
              <w:rPr>
                <w:rFonts w:ascii="Times New Roman" w:hAnsi="Times New Roman" w:cs="Times New Roman"/>
                <w:sz w:val="18"/>
              </w:rPr>
              <w:t>36</w:t>
            </w:r>
          </w:p>
        </w:tc>
        <w:tc>
          <w:tcPr>
            <w:tcW w:w="1540" w:type="dxa"/>
            <w:tcBorders>
              <w:top w:val="nil"/>
              <w:left w:val="nil"/>
              <w:bottom w:val="nil"/>
              <w:right w:val="nil"/>
            </w:tcBorders>
            <w:shd w:val="clear" w:color="000000" w:fill="FFFFFF"/>
            <w:vAlign w:val="center"/>
            <w:hideMark/>
          </w:tcPr>
          <w:p w14:paraId="49F55907" w14:textId="77777777" w:rsidR="00ED4F1B" w:rsidRPr="00C8275B" w:rsidRDefault="00ED4F1B" w:rsidP="00682699">
            <w:pPr>
              <w:jc w:val="center"/>
              <w:rPr>
                <w:rFonts w:ascii="Times New Roman" w:hAnsi="Times New Roman" w:cs="Times New Roman"/>
                <w:sz w:val="18"/>
              </w:rPr>
            </w:pPr>
            <w:r w:rsidRPr="00C8275B">
              <w:rPr>
                <w:rFonts w:ascii="Times New Roman" w:hAnsi="Times New Roman" w:cs="Times New Roman"/>
                <w:sz w:val="18"/>
              </w:rPr>
              <w:t>593.000,14</w:t>
            </w:r>
          </w:p>
        </w:tc>
      </w:tr>
      <w:tr w:rsidR="00ED4F1B" w:rsidRPr="00C8275B" w14:paraId="6539D2FD" w14:textId="77777777" w:rsidTr="0085082D">
        <w:trPr>
          <w:trHeight w:val="300"/>
          <w:jc w:val="center"/>
        </w:trPr>
        <w:tc>
          <w:tcPr>
            <w:tcW w:w="4020" w:type="dxa"/>
            <w:tcBorders>
              <w:top w:val="single" w:sz="4" w:space="0" w:color="auto"/>
              <w:left w:val="nil"/>
              <w:bottom w:val="single" w:sz="4" w:space="0" w:color="auto"/>
              <w:right w:val="nil"/>
            </w:tcBorders>
            <w:shd w:val="clear" w:color="000000" w:fill="FFFFFF"/>
            <w:vAlign w:val="center"/>
            <w:hideMark/>
          </w:tcPr>
          <w:p w14:paraId="1D24F370" w14:textId="77777777" w:rsidR="00ED4F1B" w:rsidRPr="00C8275B" w:rsidRDefault="00ED4F1B" w:rsidP="00B73F85">
            <w:pPr>
              <w:jc w:val="center"/>
              <w:rPr>
                <w:rFonts w:ascii="Times New Roman" w:hAnsi="Times New Roman" w:cs="Times New Roman"/>
                <w:b/>
                <w:bCs/>
                <w:sz w:val="18"/>
              </w:rPr>
            </w:pPr>
            <w:r w:rsidRPr="00C8275B">
              <w:rPr>
                <w:rFonts w:ascii="Times New Roman" w:hAnsi="Times New Roman" w:cs="Times New Roman"/>
                <w:b/>
                <w:bCs/>
                <w:sz w:val="18"/>
              </w:rPr>
              <w:t>T O T A L</w:t>
            </w:r>
          </w:p>
        </w:tc>
        <w:tc>
          <w:tcPr>
            <w:tcW w:w="1460" w:type="dxa"/>
            <w:tcBorders>
              <w:top w:val="single" w:sz="4" w:space="0" w:color="auto"/>
              <w:left w:val="nil"/>
              <w:bottom w:val="single" w:sz="4" w:space="0" w:color="auto"/>
              <w:right w:val="nil"/>
            </w:tcBorders>
            <w:shd w:val="clear" w:color="000000" w:fill="FFFFFF"/>
            <w:vAlign w:val="center"/>
            <w:hideMark/>
          </w:tcPr>
          <w:p w14:paraId="2D9BC470" w14:textId="53A9FF10" w:rsidR="00ED4F1B" w:rsidRPr="00C8275B" w:rsidRDefault="008E1ECC" w:rsidP="00B14FBA">
            <w:pPr>
              <w:jc w:val="center"/>
              <w:rPr>
                <w:rFonts w:ascii="Times New Roman" w:hAnsi="Times New Roman" w:cs="Times New Roman"/>
                <w:b/>
                <w:sz w:val="18"/>
              </w:rPr>
            </w:pPr>
            <w:r w:rsidRPr="00C8275B">
              <w:rPr>
                <w:rFonts w:ascii="Times New Roman" w:hAnsi="Times New Roman" w:cs="Times New Roman"/>
                <w:b/>
                <w:sz w:val="18"/>
              </w:rPr>
              <w:t>628</w:t>
            </w:r>
            <w:r w:rsidR="00ED4F1B" w:rsidRPr="00C8275B">
              <w:rPr>
                <w:rFonts w:ascii="Times New Roman" w:hAnsi="Times New Roman" w:cs="Times New Roman"/>
                <w:b/>
                <w:sz w:val="18"/>
              </w:rPr>
              <w:t>.</w:t>
            </w:r>
            <w:r w:rsidRPr="00C8275B">
              <w:rPr>
                <w:rFonts w:ascii="Times New Roman" w:hAnsi="Times New Roman" w:cs="Times New Roman"/>
                <w:b/>
                <w:sz w:val="18"/>
              </w:rPr>
              <w:t>227</w:t>
            </w:r>
            <w:r w:rsidR="00ED4F1B" w:rsidRPr="00C8275B">
              <w:rPr>
                <w:rFonts w:ascii="Times New Roman" w:hAnsi="Times New Roman" w:cs="Times New Roman"/>
                <w:b/>
                <w:sz w:val="18"/>
              </w:rPr>
              <w:t>,</w:t>
            </w:r>
            <w:r w:rsidRPr="00C8275B">
              <w:rPr>
                <w:rFonts w:ascii="Times New Roman" w:hAnsi="Times New Roman" w:cs="Times New Roman"/>
                <w:b/>
                <w:sz w:val="18"/>
              </w:rPr>
              <w:t>36</w:t>
            </w:r>
          </w:p>
        </w:tc>
        <w:tc>
          <w:tcPr>
            <w:tcW w:w="1540" w:type="dxa"/>
            <w:tcBorders>
              <w:top w:val="single" w:sz="4" w:space="0" w:color="auto"/>
              <w:left w:val="nil"/>
              <w:bottom w:val="single" w:sz="4" w:space="0" w:color="auto"/>
              <w:right w:val="nil"/>
            </w:tcBorders>
            <w:shd w:val="clear" w:color="000000" w:fill="FFFFFF"/>
            <w:vAlign w:val="center"/>
            <w:hideMark/>
          </w:tcPr>
          <w:p w14:paraId="4BCBD1BB" w14:textId="77777777" w:rsidR="00ED4F1B" w:rsidRPr="00C8275B" w:rsidRDefault="00ED4F1B" w:rsidP="00682699">
            <w:pPr>
              <w:jc w:val="center"/>
              <w:rPr>
                <w:rFonts w:ascii="Times New Roman" w:hAnsi="Times New Roman" w:cs="Times New Roman"/>
                <w:b/>
                <w:sz w:val="18"/>
              </w:rPr>
            </w:pPr>
            <w:r w:rsidRPr="00C8275B">
              <w:rPr>
                <w:rFonts w:ascii="Times New Roman" w:hAnsi="Times New Roman" w:cs="Times New Roman"/>
                <w:b/>
                <w:sz w:val="18"/>
              </w:rPr>
              <w:t>593.000,14</w:t>
            </w:r>
          </w:p>
        </w:tc>
      </w:tr>
    </w:tbl>
    <w:p w14:paraId="76602EDD" w14:textId="77777777" w:rsidR="0085082D" w:rsidRPr="00C8275B" w:rsidRDefault="0085082D" w:rsidP="0085082D">
      <w:pPr>
        <w:spacing w:line="276" w:lineRule="auto"/>
        <w:jc w:val="center"/>
        <w:rPr>
          <w:rFonts w:ascii="Times New Roman" w:hAnsi="Times New Roman" w:cs="Times New Roman"/>
          <w:color w:val="0000FF"/>
        </w:rPr>
      </w:pPr>
    </w:p>
    <w:p w14:paraId="07DD9BD2" w14:textId="77777777" w:rsidR="00BB6E99" w:rsidRPr="00BB6E99" w:rsidRDefault="00BB6E99" w:rsidP="00BB6E99">
      <w:pPr>
        <w:tabs>
          <w:tab w:val="left" w:pos="-720"/>
        </w:tabs>
        <w:suppressAutoHyphens/>
        <w:ind w:left="709" w:right="-26"/>
        <w:jc w:val="both"/>
        <w:rPr>
          <w:rFonts w:ascii="Times New Roman" w:hAnsi="Times New Roman" w:cs="Times New Roman"/>
          <w:b/>
          <w:spacing w:val="-2"/>
          <w:sz w:val="22"/>
          <w:szCs w:val="22"/>
          <w:u w:val="single"/>
          <w:lang w:val="es-ES_tradnl" w:eastAsia="es-ES_tradnl"/>
        </w:rPr>
      </w:pPr>
      <w:r w:rsidRPr="00BB6E99">
        <w:rPr>
          <w:rFonts w:ascii="Times New Roman" w:hAnsi="Times New Roman" w:cs="Times New Roman"/>
          <w:b/>
          <w:spacing w:val="-2"/>
          <w:sz w:val="22"/>
          <w:szCs w:val="22"/>
          <w:u w:val="single"/>
          <w:lang w:val="es-ES_tradnl" w:eastAsia="es-ES_tradnl"/>
        </w:rPr>
        <w:t>Otros resultados</w:t>
      </w:r>
    </w:p>
    <w:p w14:paraId="5BAF73CC" w14:textId="77777777" w:rsidR="00BB6E99" w:rsidRPr="00BB6E99" w:rsidRDefault="00BB6E99" w:rsidP="00BB6E99">
      <w:pPr>
        <w:tabs>
          <w:tab w:val="left" w:pos="-720"/>
        </w:tabs>
        <w:suppressAutoHyphens/>
        <w:ind w:right="-26"/>
        <w:jc w:val="both"/>
        <w:rPr>
          <w:rFonts w:ascii="Times New Roman" w:hAnsi="Times New Roman" w:cs="Times New Roman"/>
          <w:b/>
          <w:spacing w:val="-2"/>
          <w:sz w:val="22"/>
          <w:szCs w:val="22"/>
          <w:u w:val="single"/>
          <w:lang w:val="es-ES_tradnl" w:eastAsia="es-ES_tradnl"/>
        </w:rPr>
      </w:pPr>
    </w:p>
    <w:p w14:paraId="74FA2EE6" w14:textId="77777777" w:rsidR="00BB6E99" w:rsidRPr="00BB6E99" w:rsidRDefault="00BB6E99" w:rsidP="00BB6E99">
      <w:pPr>
        <w:tabs>
          <w:tab w:val="left" w:pos="-720"/>
        </w:tabs>
        <w:suppressAutoHyphens/>
        <w:ind w:left="709" w:right="-26"/>
        <w:jc w:val="both"/>
        <w:rPr>
          <w:rFonts w:ascii="Times New Roman" w:hAnsi="Times New Roman" w:cs="Times New Roman"/>
          <w:spacing w:val="-2"/>
          <w:sz w:val="22"/>
          <w:szCs w:val="22"/>
          <w:lang w:val="es-ES_tradnl" w:eastAsia="es-ES_tradnl"/>
        </w:rPr>
      </w:pPr>
      <w:r w:rsidRPr="00BB6E99">
        <w:rPr>
          <w:rFonts w:ascii="Times New Roman" w:hAnsi="Times New Roman" w:cs="Times New Roman"/>
          <w:spacing w:val="-2"/>
          <w:sz w:val="22"/>
          <w:szCs w:val="22"/>
          <w:lang w:val="es-ES_tradnl" w:eastAsia="es-ES_tradnl"/>
        </w:rPr>
        <w:t>El epígrafe está compuesto por el siguiente detalle:</w:t>
      </w:r>
    </w:p>
    <w:p w14:paraId="3CE62CEF" w14:textId="189CB06B" w:rsidR="00BB6E99" w:rsidRDefault="00BB6E99" w:rsidP="00BB6E99">
      <w:pPr>
        <w:tabs>
          <w:tab w:val="left" w:pos="-720"/>
        </w:tabs>
        <w:suppressAutoHyphens/>
        <w:ind w:right="-26"/>
        <w:jc w:val="both"/>
        <w:rPr>
          <w:rFonts w:ascii="Garamond" w:hAnsi="Garamond"/>
          <w:iCs/>
        </w:rPr>
      </w:pPr>
    </w:p>
    <w:tbl>
      <w:tblPr>
        <w:tblW w:w="6040" w:type="dxa"/>
        <w:jc w:val="center"/>
        <w:tblCellMar>
          <w:left w:w="70" w:type="dxa"/>
          <w:right w:w="70" w:type="dxa"/>
        </w:tblCellMar>
        <w:tblLook w:val="04A0" w:firstRow="1" w:lastRow="0" w:firstColumn="1" w:lastColumn="0" w:noHBand="0" w:noVBand="1"/>
      </w:tblPr>
      <w:tblGrid>
        <w:gridCol w:w="3640"/>
        <w:gridCol w:w="1200"/>
        <w:gridCol w:w="1200"/>
      </w:tblGrid>
      <w:tr w:rsidR="00B473A7" w:rsidRPr="00CD7C89" w14:paraId="3B0AB961" w14:textId="77777777" w:rsidTr="00B473A7">
        <w:trPr>
          <w:trHeight w:val="300"/>
          <w:jc w:val="center"/>
        </w:trPr>
        <w:tc>
          <w:tcPr>
            <w:tcW w:w="3640" w:type="dxa"/>
            <w:tcBorders>
              <w:top w:val="single" w:sz="4" w:space="0" w:color="auto"/>
              <w:left w:val="nil"/>
              <w:bottom w:val="single" w:sz="4" w:space="0" w:color="auto"/>
              <w:right w:val="nil"/>
            </w:tcBorders>
            <w:shd w:val="clear" w:color="000000" w:fill="FFFFFF"/>
            <w:vAlign w:val="center"/>
            <w:hideMark/>
          </w:tcPr>
          <w:p w14:paraId="5B97E282"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 </w:t>
            </w:r>
          </w:p>
        </w:tc>
        <w:tc>
          <w:tcPr>
            <w:tcW w:w="1200" w:type="dxa"/>
            <w:tcBorders>
              <w:top w:val="single" w:sz="4" w:space="0" w:color="auto"/>
              <w:left w:val="nil"/>
              <w:bottom w:val="single" w:sz="4" w:space="0" w:color="auto"/>
              <w:right w:val="nil"/>
            </w:tcBorders>
            <w:shd w:val="clear" w:color="000000" w:fill="FFFFFF"/>
            <w:vAlign w:val="center"/>
            <w:hideMark/>
          </w:tcPr>
          <w:p w14:paraId="6CD97D73" w14:textId="3D5A3CA5"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2022</w:t>
            </w:r>
          </w:p>
        </w:tc>
        <w:tc>
          <w:tcPr>
            <w:tcW w:w="1200" w:type="dxa"/>
            <w:tcBorders>
              <w:top w:val="single" w:sz="4" w:space="0" w:color="auto"/>
              <w:left w:val="nil"/>
              <w:bottom w:val="single" w:sz="4" w:space="0" w:color="auto"/>
              <w:right w:val="nil"/>
            </w:tcBorders>
            <w:shd w:val="clear" w:color="000000" w:fill="FFFFFF"/>
            <w:vAlign w:val="center"/>
            <w:hideMark/>
          </w:tcPr>
          <w:p w14:paraId="6EAE9804" w14:textId="2BA97063"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2021</w:t>
            </w:r>
          </w:p>
        </w:tc>
      </w:tr>
      <w:tr w:rsidR="00B473A7" w:rsidRPr="00CD7C89" w14:paraId="173FCD81"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257695AE"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Gastos excepcionales</w:t>
            </w:r>
          </w:p>
        </w:tc>
        <w:tc>
          <w:tcPr>
            <w:tcW w:w="1200" w:type="dxa"/>
            <w:tcBorders>
              <w:top w:val="nil"/>
              <w:left w:val="nil"/>
              <w:bottom w:val="single" w:sz="4" w:space="0" w:color="auto"/>
              <w:right w:val="nil"/>
            </w:tcBorders>
            <w:shd w:val="clear" w:color="000000" w:fill="FFFFFF"/>
            <w:vAlign w:val="center"/>
            <w:hideMark/>
          </w:tcPr>
          <w:p w14:paraId="51590D13"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-1.288,45</w:t>
            </w:r>
          </w:p>
        </w:tc>
        <w:tc>
          <w:tcPr>
            <w:tcW w:w="1200" w:type="dxa"/>
            <w:tcBorders>
              <w:top w:val="nil"/>
              <w:left w:val="nil"/>
              <w:bottom w:val="single" w:sz="4" w:space="0" w:color="auto"/>
              <w:right w:val="nil"/>
            </w:tcBorders>
            <w:shd w:val="clear" w:color="000000" w:fill="FFFFFF"/>
            <w:vAlign w:val="center"/>
            <w:hideMark/>
          </w:tcPr>
          <w:p w14:paraId="60577C13"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-64.636,00</w:t>
            </w:r>
          </w:p>
        </w:tc>
      </w:tr>
      <w:tr w:rsidR="00B473A7" w:rsidRPr="00CD7C89" w14:paraId="61A33581"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05BB9739" w14:textId="77777777" w:rsidR="00B473A7" w:rsidRPr="00CD7C89" w:rsidRDefault="00B473A7" w:rsidP="00B473A7">
            <w:pPr>
              <w:widowControl/>
              <w:autoSpaceDE/>
              <w:autoSpaceDN/>
              <w:adjustRightInd/>
              <w:rPr>
                <w:rFonts w:ascii="Times New Roman" w:hAnsi="Times New Roman" w:cs="Times New Roman"/>
                <w:sz w:val="18"/>
                <w:szCs w:val="18"/>
              </w:rPr>
            </w:pPr>
            <w:r w:rsidRPr="00CD7C89">
              <w:rPr>
                <w:rFonts w:ascii="Times New Roman" w:hAnsi="Times New Roman" w:cs="Times New Roman"/>
                <w:sz w:val="18"/>
                <w:szCs w:val="18"/>
              </w:rPr>
              <w:t>Ingresos excepcionales</w:t>
            </w:r>
          </w:p>
        </w:tc>
        <w:tc>
          <w:tcPr>
            <w:tcW w:w="1200" w:type="dxa"/>
            <w:tcBorders>
              <w:top w:val="nil"/>
              <w:left w:val="nil"/>
              <w:bottom w:val="single" w:sz="4" w:space="0" w:color="auto"/>
              <w:right w:val="nil"/>
            </w:tcBorders>
            <w:shd w:val="clear" w:color="000000" w:fill="FFFFFF"/>
            <w:vAlign w:val="center"/>
            <w:hideMark/>
          </w:tcPr>
          <w:p w14:paraId="08A51285"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30.906,71</w:t>
            </w:r>
          </w:p>
        </w:tc>
        <w:tc>
          <w:tcPr>
            <w:tcW w:w="1200" w:type="dxa"/>
            <w:tcBorders>
              <w:top w:val="nil"/>
              <w:left w:val="nil"/>
              <w:bottom w:val="single" w:sz="4" w:space="0" w:color="auto"/>
              <w:right w:val="nil"/>
            </w:tcBorders>
            <w:shd w:val="clear" w:color="000000" w:fill="FFFFFF"/>
            <w:vAlign w:val="center"/>
            <w:hideMark/>
          </w:tcPr>
          <w:p w14:paraId="3FC41D42" w14:textId="77777777" w:rsidR="00B473A7" w:rsidRPr="00CD7C89" w:rsidRDefault="00B473A7" w:rsidP="00B473A7">
            <w:pPr>
              <w:widowControl/>
              <w:autoSpaceDE/>
              <w:autoSpaceDN/>
              <w:adjustRightInd/>
              <w:jc w:val="center"/>
              <w:rPr>
                <w:rFonts w:ascii="Times New Roman" w:hAnsi="Times New Roman" w:cs="Times New Roman"/>
                <w:sz w:val="18"/>
                <w:szCs w:val="18"/>
              </w:rPr>
            </w:pPr>
            <w:r w:rsidRPr="00CD7C89">
              <w:rPr>
                <w:rFonts w:ascii="Times New Roman" w:hAnsi="Times New Roman" w:cs="Times New Roman"/>
                <w:sz w:val="18"/>
                <w:szCs w:val="18"/>
              </w:rPr>
              <w:t>49.535,76</w:t>
            </w:r>
          </w:p>
        </w:tc>
      </w:tr>
      <w:tr w:rsidR="00B473A7" w:rsidRPr="00CD7C89" w14:paraId="679CE029" w14:textId="77777777" w:rsidTr="00B473A7">
        <w:trPr>
          <w:trHeight w:val="300"/>
          <w:jc w:val="center"/>
        </w:trPr>
        <w:tc>
          <w:tcPr>
            <w:tcW w:w="3640" w:type="dxa"/>
            <w:tcBorders>
              <w:top w:val="nil"/>
              <w:left w:val="nil"/>
              <w:bottom w:val="single" w:sz="4" w:space="0" w:color="auto"/>
              <w:right w:val="nil"/>
            </w:tcBorders>
            <w:shd w:val="clear" w:color="000000" w:fill="FFFFFF"/>
            <w:vAlign w:val="center"/>
            <w:hideMark/>
          </w:tcPr>
          <w:p w14:paraId="4D488F79"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T O T A L</w:t>
            </w:r>
          </w:p>
        </w:tc>
        <w:tc>
          <w:tcPr>
            <w:tcW w:w="1200" w:type="dxa"/>
            <w:tcBorders>
              <w:top w:val="nil"/>
              <w:left w:val="nil"/>
              <w:bottom w:val="single" w:sz="4" w:space="0" w:color="auto"/>
              <w:right w:val="nil"/>
            </w:tcBorders>
            <w:shd w:val="clear" w:color="000000" w:fill="FFFFFF"/>
            <w:vAlign w:val="center"/>
            <w:hideMark/>
          </w:tcPr>
          <w:p w14:paraId="73B4E73A"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29.618,26</w:t>
            </w:r>
          </w:p>
        </w:tc>
        <w:tc>
          <w:tcPr>
            <w:tcW w:w="1200" w:type="dxa"/>
            <w:tcBorders>
              <w:top w:val="nil"/>
              <w:left w:val="nil"/>
              <w:bottom w:val="single" w:sz="4" w:space="0" w:color="auto"/>
              <w:right w:val="nil"/>
            </w:tcBorders>
            <w:shd w:val="clear" w:color="000000" w:fill="FFFFFF"/>
            <w:vAlign w:val="center"/>
            <w:hideMark/>
          </w:tcPr>
          <w:p w14:paraId="7E1786D7" w14:textId="77777777" w:rsidR="00B473A7" w:rsidRPr="00CD7C89" w:rsidRDefault="00B473A7" w:rsidP="00B473A7">
            <w:pPr>
              <w:widowControl/>
              <w:autoSpaceDE/>
              <w:autoSpaceDN/>
              <w:adjustRightInd/>
              <w:jc w:val="center"/>
              <w:rPr>
                <w:rFonts w:ascii="Times New Roman" w:hAnsi="Times New Roman" w:cs="Times New Roman"/>
                <w:b/>
                <w:bCs/>
                <w:sz w:val="18"/>
                <w:szCs w:val="18"/>
              </w:rPr>
            </w:pPr>
            <w:r w:rsidRPr="00CD7C89">
              <w:rPr>
                <w:rFonts w:ascii="Times New Roman" w:hAnsi="Times New Roman" w:cs="Times New Roman"/>
                <w:b/>
                <w:bCs/>
                <w:sz w:val="18"/>
                <w:szCs w:val="18"/>
              </w:rPr>
              <w:t>-15.100,24</w:t>
            </w:r>
          </w:p>
        </w:tc>
      </w:tr>
    </w:tbl>
    <w:p w14:paraId="6DB3F116" w14:textId="77777777" w:rsidR="00486703" w:rsidRDefault="00486703" w:rsidP="00486703">
      <w:pPr>
        <w:tabs>
          <w:tab w:val="left" w:pos="-720"/>
          <w:tab w:val="left" w:pos="0"/>
        </w:tabs>
        <w:suppressAutoHyphens/>
        <w:ind w:left="720" w:right="-26"/>
        <w:jc w:val="both"/>
        <w:rPr>
          <w:rFonts w:ascii="Times New Roman" w:hAnsi="Times New Roman" w:cs="Times New Roman"/>
          <w:b/>
          <w:color w:val="FF0066"/>
          <w:spacing w:val="-3"/>
          <w:sz w:val="22"/>
          <w:szCs w:val="22"/>
          <w:lang w:eastAsia="es-ES_tradnl"/>
        </w:rPr>
      </w:pPr>
    </w:p>
    <w:p w14:paraId="2B34DAEB" w14:textId="03DE760D" w:rsidR="00486703" w:rsidRDefault="00486703" w:rsidP="00486703">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08638C12" w14:textId="77777777" w:rsidR="00486703" w:rsidRPr="00C8275B" w:rsidRDefault="00486703" w:rsidP="00486703">
      <w:pPr>
        <w:shd w:val="clear" w:color="auto" w:fill="FFFFFF"/>
        <w:ind w:firstLine="709"/>
        <w:jc w:val="both"/>
        <w:rPr>
          <w:rFonts w:ascii="Times New Roman" w:hAnsi="Times New Roman" w:cs="Times New Roman"/>
          <w:b/>
          <w:bCs/>
          <w:color w:val="0000FF"/>
          <w:spacing w:val="-3"/>
          <w:sz w:val="22"/>
          <w:szCs w:val="22"/>
          <w:lang w:val="es-ES_tradnl" w:eastAsia="es-ES_tradnl"/>
        </w:rPr>
      </w:pPr>
    </w:p>
    <w:p w14:paraId="37CDF9F9" w14:textId="05451221" w:rsidR="002545FD" w:rsidRPr="00C8275B" w:rsidRDefault="0076239A" w:rsidP="002545FD">
      <w:pPr>
        <w:shd w:val="clear" w:color="auto" w:fill="FFFFFF"/>
        <w:ind w:firstLine="709"/>
        <w:jc w:val="both"/>
        <w:rPr>
          <w:rFonts w:ascii="Times New Roman" w:hAnsi="Times New Roman" w:cs="Times New Roman"/>
          <w:b/>
          <w:bCs/>
          <w:spacing w:val="-3"/>
          <w:sz w:val="22"/>
          <w:szCs w:val="22"/>
          <w:lang w:val="es-ES_tradnl" w:eastAsia="es-ES_tradnl"/>
        </w:rPr>
      </w:pPr>
      <w:r w:rsidRPr="00C8275B">
        <w:rPr>
          <w:rFonts w:ascii="Times New Roman" w:hAnsi="Times New Roman" w:cs="Times New Roman"/>
          <w:b/>
          <w:bCs/>
          <w:spacing w:val="-3"/>
          <w:sz w:val="22"/>
          <w:szCs w:val="22"/>
          <w:lang w:val="es-ES_tradnl" w:eastAsia="es-ES_tradnl"/>
        </w:rPr>
        <w:t>1</w:t>
      </w:r>
      <w:r w:rsidR="008513D2" w:rsidRPr="00C8275B">
        <w:rPr>
          <w:rFonts w:ascii="Times New Roman" w:hAnsi="Times New Roman" w:cs="Times New Roman"/>
          <w:b/>
          <w:bCs/>
          <w:spacing w:val="-3"/>
          <w:sz w:val="22"/>
          <w:szCs w:val="22"/>
          <w:lang w:val="es-ES_tradnl" w:eastAsia="es-ES_tradnl"/>
        </w:rPr>
        <w:t>2</w:t>
      </w:r>
      <w:r w:rsidR="002545FD" w:rsidRPr="00C8275B">
        <w:rPr>
          <w:rFonts w:ascii="Times New Roman" w:hAnsi="Times New Roman" w:cs="Times New Roman"/>
          <w:b/>
          <w:bCs/>
          <w:spacing w:val="-3"/>
          <w:sz w:val="22"/>
          <w:szCs w:val="22"/>
          <w:lang w:val="es-ES_tradnl" w:eastAsia="es-ES_tradnl"/>
        </w:rPr>
        <w:t xml:space="preserve">. </w:t>
      </w:r>
      <w:r w:rsidR="002545FD" w:rsidRPr="00C8275B">
        <w:rPr>
          <w:rFonts w:ascii="Times New Roman" w:hAnsi="Times New Roman" w:cs="Times New Roman"/>
          <w:b/>
          <w:bCs/>
          <w:spacing w:val="-3"/>
          <w:sz w:val="22"/>
          <w:szCs w:val="22"/>
          <w:u w:val="double"/>
          <w:lang w:val="es-ES_tradnl" w:eastAsia="es-ES_tradnl"/>
        </w:rPr>
        <w:t>SUBVENCIONES, DONACIONES Y LEGADOS</w:t>
      </w:r>
    </w:p>
    <w:p w14:paraId="73FBA18B" w14:textId="77777777" w:rsidR="002545FD" w:rsidRPr="00C8275B" w:rsidRDefault="002545FD" w:rsidP="002545FD">
      <w:pPr>
        <w:tabs>
          <w:tab w:val="left" w:pos="-720"/>
        </w:tabs>
        <w:suppressAutoHyphens/>
        <w:ind w:left="709" w:right="-26"/>
        <w:jc w:val="both"/>
        <w:rPr>
          <w:rFonts w:ascii="Times New Roman" w:hAnsi="Times New Roman" w:cs="Times New Roman"/>
          <w:b/>
          <w:iCs/>
        </w:rPr>
      </w:pPr>
    </w:p>
    <w:p w14:paraId="17713467" w14:textId="75A0AA7D" w:rsidR="002545FD" w:rsidRPr="00C8275B" w:rsidRDefault="002545FD" w:rsidP="001B37C5">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Las subvenciones recogidas en el capítulo de Subvenciones, donaciones y legados del Pasivo</w:t>
      </w:r>
      <w:r w:rsidR="006E351B" w:rsidRPr="00C8275B">
        <w:rPr>
          <w:rFonts w:ascii="Times New Roman" w:hAnsi="Times New Roman" w:cs="Times New Roman"/>
          <w:spacing w:val="-2"/>
          <w:sz w:val="22"/>
          <w:szCs w:val="22"/>
          <w:lang w:val="es-ES_tradnl" w:eastAsia="es-ES_tradnl"/>
        </w:rPr>
        <w:t xml:space="preserve"> del Balance  se corresponden con los bienes cedidos de domino público por el Excmo. </w:t>
      </w:r>
      <w:r w:rsidR="00A91F42" w:rsidRPr="00C8275B">
        <w:rPr>
          <w:rFonts w:ascii="Times New Roman" w:hAnsi="Times New Roman" w:cs="Times New Roman"/>
          <w:spacing w:val="-2"/>
          <w:sz w:val="22"/>
          <w:szCs w:val="22"/>
          <w:lang w:val="es-ES_tradnl" w:eastAsia="es-ES_tradnl"/>
        </w:rPr>
        <w:t>Ayuntamiento</w:t>
      </w:r>
      <w:r w:rsidR="006E351B" w:rsidRPr="00C8275B">
        <w:rPr>
          <w:rFonts w:ascii="Times New Roman" w:hAnsi="Times New Roman" w:cs="Times New Roman"/>
          <w:spacing w:val="-2"/>
          <w:sz w:val="22"/>
          <w:szCs w:val="22"/>
          <w:lang w:val="es-ES_tradnl" w:eastAsia="es-ES_tradnl"/>
        </w:rPr>
        <w:t xml:space="preserve"> de Las Palmas de Gran Canaria</w:t>
      </w:r>
      <w:r w:rsidR="007D0B23" w:rsidRPr="00C8275B">
        <w:rPr>
          <w:rFonts w:ascii="Times New Roman" w:hAnsi="Times New Roman" w:cs="Times New Roman"/>
          <w:spacing w:val="-2"/>
          <w:sz w:val="22"/>
          <w:szCs w:val="22"/>
          <w:lang w:val="es-ES_tradnl" w:eastAsia="es-ES_tradnl"/>
        </w:rPr>
        <w:t>,</w:t>
      </w:r>
      <w:r w:rsidR="006E351B" w:rsidRPr="00C8275B">
        <w:rPr>
          <w:rFonts w:ascii="Times New Roman" w:hAnsi="Times New Roman" w:cs="Times New Roman"/>
          <w:spacing w:val="-2"/>
          <w:sz w:val="22"/>
          <w:szCs w:val="22"/>
          <w:lang w:val="es-ES_tradnl" w:eastAsia="es-ES_tradnl"/>
        </w:rPr>
        <w:t xml:space="preserve"> que figuran detallados en el Inmovilizado material y que  ascienden globalmente en el presente ejercicio a 15.</w:t>
      </w:r>
      <w:r w:rsidR="008E1ECC" w:rsidRPr="00C8275B">
        <w:rPr>
          <w:rFonts w:ascii="Times New Roman" w:hAnsi="Times New Roman" w:cs="Times New Roman"/>
          <w:spacing w:val="-2"/>
          <w:sz w:val="22"/>
          <w:szCs w:val="22"/>
          <w:lang w:val="es-ES_tradnl" w:eastAsia="es-ES_tradnl"/>
        </w:rPr>
        <w:t>382</w:t>
      </w:r>
      <w:r w:rsidR="006E351B"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222</w:t>
      </w:r>
      <w:r w:rsidR="006E351B"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34</w:t>
      </w:r>
      <w:r w:rsidR="006E351B" w:rsidRPr="00C8275B">
        <w:rPr>
          <w:rFonts w:ascii="Times New Roman" w:hAnsi="Times New Roman" w:cs="Times New Roman"/>
          <w:spacing w:val="-2"/>
          <w:sz w:val="22"/>
          <w:szCs w:val="22"/>
          <w:lang w:val="es-ES_tradnl" w:eastAsia="es-ES_tradnl"/>
        </w:rPr>
        <w:t xml:space="preserve"> euros y a </w:t>
      </w:r>
      <w:r w:rsidR="00FF3574" w:rsidRPr="00C8275B">
        <w:rPr>
          <w:rFonts w:ascii="Times New Roman" w:hAnsi="Times New Roman" w:cs="Times New Roman"/>
          <w:spacing w:val="-2"/>
          <w:sz w:val="22"/>
          <w:szCs w:val="22"/>
          <w:lang w:val="es-ES_tradnl" w:eastAsia="es-ES_tradnl"/>
        </w:rPr>
        <w:t>15.</w:t>
      </w:r>
      <w:r w:rsidR="008E1ECC" w:rsidRPr="00C8275B">
        <w:rPr>
          <w:rFonts w:ascii="Times New Roman" w:hAnsi="Times New Roman" w:cs="Times New Roman"/>
          <w:spacing w:val="-2"/>
          <w:sz w:val="22"/>
          <w:szCs w:val="22"/>
          <w:lang w:val="es-ES_tradnl" w:eastAsia="es-ES_tradnl"/>
        </w:rPr>
        <w:t>497</w:t>
      </w:r>
      <w:r w:rsidR="00FF3574"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411</w:t>
      </w:r>
      <w:r w:rsidR="00FF3574" w:rsidRPr="00C8275B">
        <w:rPr>
          <w:rFonts w:ascii="Times New Roman" w:hAnsi="Times New Roman" w:cs="Times New Roman"/>
          <w:spacing w:val="-2"/>
          <w:sz w:val="22"/>
          <w:szCs w:val="22"/>
          <w:lang w:val="es-ES_tradnl" w:eastAsia="es-ES_tradnl"/>
        </w:rPr>
        <w:t>,</w:t>
      </w:r>
      <w:r w:rsidR="008E1ECC" w:rsidRPr="00C8275B">
        <w:rPr>
          <w:rFonts w:ascii="Times New Roman" w:hAnsi="Times New Roman" w:cs="Times New Roman"/>
          <w:spacing w:val="-2"/>
          <w:sz w:val="22"/>
          <w:szCs w:val="22"/>
          <w:lang w:val="es-ES_tradnl" w:eastAsia="es-ES_tradnl"/>
        </w:rPr>
        <w:t>37</w:t>
      </w:r>
      <w:r w:rsidR="00FF3574" w:rsidRPr="00C8275B">
        <w:rPr>
          <w:rFonts w:ascii="Times New Roman" w:hAnsi="Times New Roman" w:cs="Times New Roman"/>
          <w:spacing w:val="-2"/>
          <w:sz w:val="22"/>
          <w:szCs w:val="22"/>
          <w:lang w:val="es-ES_tradnl" w:eastAsia="es-ES_tradnl"/>
        </w:rPr>
        <w:t xml:space="preserve"> </w:t>
      </w:r>
      <w:r w:rsidR="006E351B" w:rsidRPr="00C8275B">
        <w:rPr>
          <w:rFonts w:ascii="Times New Roman" w:hAnsi="Times New Roman" w:cs="Times New Roman"/>
          <w:spacing w:val="-2"/>
          <w:sz w:val="22"/>
          <w:szCs w:val="22"/>
          <w:lang w:val="es-ES_tradnl" w:eastAsia="es-ES_tradnl"/>
        </w:rPr>
        <w:t>euros en el ejercicio anterior, habiéndose imputado a</w:t>
      </w:r>
      <w:r w:rsidR="00B73F85">
        <w:rPr>
          <w:rFonts w:ascii="Times New Roman" w:hAnsi="Times New Roman" w:cs="Times New Roman"/>
          <w:spacing w:val="-2"/>
          <w:sz w:val="22"/>
          <w:szCs w:val="22"/>
          <w:lang w:val="es-ES_tradnl" w:eastAsia="es-ES_tradnl"/>
        </w:rPr>
        <w:t>l</w:t>
      </w:r>
      <w:r w:rsidR="006E351B" w:rsidRPr="00C8275B">
        <w:rPr>
          <w:rFonts w:ascii="Times New Roman" w:hAnsi="Times New Roman" w:cs="Times New Roman"/>
          <w:spacing w:val="-2"/>
          <w:sz w:val="22"/>
          <w:szCs w:val="22"/>
          <w:lang w:val="es-ES_tradnl" w:eastAsia="es-ES_tradnl"/>
        </w:rPr>
        <w:t xml:space="preserve"> resultados del ejercicio la cuantía de 11</w:t>
      </w:r>
      <w:r w:rsidR="0097771F" w:rsidRPr="00C8275B">
        <w:rPr>
          <w:rFonts w:ascii="Times New Roman" w:hAnsi="Times New Roman" w:cs="Times New Roman"/>
          <w:spacing w:val="-2"/>
          <w:sz w:val="22"/>
          <w:szCs w:val="22"/>
          <w:lang w:val="es-ES_tradnl" w:eastAsia="es-ES_tradnl"/>
        </w:rPr>
        <w:t>5.189,03</w:t>
      </w:r>
      <w:r w:rsidR="006E351B" w:rsidRPr="00C8275B">
        <w:rPr>
          <w:rFonts w:ascii="Times New Roman" w:hAnsi="Times New Roman" w:cs="Times New Roman"/>
          <w:spacing w:val="-2"/>
          <w:sz w:val="22"/>
          <w:szCs w:val="22"/>
          <w:lang w:val="es-ES_tradnl" w:eastAsia="es-ES_tradnl"/>
        </w:rPr>
        <w:t xml:space="preserve"> euros y </w:t>
      </w:r>
      <w:r w:rsidR="00CD7C89">
        <w:rPr>
          <w:rFonts w:ascii="Times New Roman" w:hAnsi="Times New Roman" w:cs="Times New Roman"/>
          <w:spacing w:val="-2"/>
          <w:sz w:val="22"/>
          <w:szCs w:val="22"/>
          <w:lang w:val="es-ES_tradnl" w:eastAsia="es-ES_tradnl"/>
        </w:rPr>
        <w:t xml:space="preserve">el mismo importe </w:t>
      </w:r>
      <w:r w:rsidR="00FF3574" w:rsidRPr="00C8275B">
        <w:rPr>
          <w:rFonts w:ascii="Times New Roman" w:hAnsi="Times New Roman" w:cs="Times New Roman"/>
          <w:spacing w:val="-2"/>
          <w:sz w:val="22"/>
          <w:szCs w:val="22"/>
          <w:lang w:val="es-ES_tradnl" w:eastAsia="es-ES_tradnl"/>
        </w:rPr>
        <w:t>115.</w:t>
      </w:r>
      <w:r w:rsidR="00CD7C89">
        <w:rPr>
          <w:rFonts w:ascii="Times New Roman" w:hAnsi="Times New Roman" w:cs="Times New Roman"/>
          <w:spacing w:val="-2"/>
          <w:sz w:val="22"/>
          <w:szCs w:val="22"/>
          <w:lang w:val="es-ES_tradnl" w:eastAsia="es-ES_tradnl"/>
        </w:rPr>
        <w:t>189</w:t>
      </w:r>
      <w:r w:rsidR="00FF3574" w:rsidRPr="00C8275B">
        <w:rPr>
          <w:rFonts w:ascii="Times New Roman" w:hAnsi="Times New Roman" w:cs="Times New Roman"/>
          <w:spacing w:val="-2"/>
          <w:sz w:val="22"/>
          <w:szCs w:val="22"/>
          <w:lang w:val="es-ES_tradnl" w:eastAsia="es-ES_tradnl"/>
        </w:rPr>
        <w:t>,</w:t>
      </w:r>
      <w:r w:rsidR="00CD7C89">
        <w:rPr>
          <w:rFonts w:ascii="Times New Roman" w:hAnsi="Times New Roman" w:cs="Times New Roman"/>
          <w:spacing w:val="-2"/>
          <w:sz w:val="22"/>
          <w:szCs w:val="22"/>
          <w:lang w:val="es-ES_tradnl" w:eastAsia="es-ES_tradnl"/>
        </w:rPr>
        <w:t>03</w:t>
      </w:r>
      <w:r w:rsidR="00FF3574" w:rsidRPr="00C8275B">
        <w:rPr>
          <w:rFonts w:ascii="Times New Roman" w:hAnsi="Times New Roman" w:cs="Times New Roman"/>
          <w:spacing w:val="-2"/>
          <w:sz w:val="22"/>
          <w:szCs w:val="22"/>
          <w:lang w:val="es-ES_tradnl" w:eastAsia="es-ES_tradnl"/>
        </w:rPr>
        <w:t xml:space="preserve"> </w:t>
      </w:r>
      <w:r w:rsidR="006E351B" w:rsidRPr="00C8275B">
        <w:rPr>
          <w:rFonts w:ascii="Times New Roman" w:hAnsi="Times New Roman" w:cs="Times New Roman"/>
          <w:spacing w:val="-2"/>
          <w:sz w:val="22"/>
          <w:szCs w:val="22"/>
          <w:lang w:val="es-ES_tradnl" w:eastAsia="es-ES_tradnl"/>
        </w:rPr>
        <w:t>euros en el ejercicio anterior.</w:t>
      </w:r>
    </w:p>
    <w:p w14:paraId="0C4D8EF5" w14:textId="77777777" w:rsidR="002F6D51" w:rsidRPr="00C8275B" w:rsidRDefault="002F6D51" w:rsidP="002545FD">
      <w:pPr>
        <w:spacing w:line="276" w:lineRule="auto"/>
        <w:ind w:left="709"/>
        <w:jc w:val="both"/>
        <w:rPr>
          <w:rFonts w:ascii="Times New Roman" w:hAnsi="Times New Roman" w:cs="Times New Roman"/>
          <w:color w:val="0000FF"/>
          <w:spacing w:val="-3"/>
          <w:sz w:val="22"/>
          <w:szCs w:val="22"/>
          <w:lang w:val="es-ES_tradnl" w:eastAsia="es-ES_tradnl"/>
        </w:rPr>
      </w:pPr>
    </w:p>
    <w:p w14:paraId="407F6E70" w14:textId="77777777" w:rsidR="00486703" w:rsidRDefault="00486703" w:rsidP="006E351B">
      <w:pPr>
        <w:shd w:val="clear" w:color="auto" w:fill="FFFFFF"/>
        <w:ind w:left="709"/>
        <w:jc w:val="both"/>
        <w:rPr>
          <w:rFonts w:ascii="Times New Roman" w:hAnsi="Times New Roman" w:cs="Times New Roman"/>
          <w:b/>
          <w:sz w:val="22"/>
          <w:szCs w:val="22"/>
          <w:u w:val="single"/>
          <w:lang w:val="es-ES_tradnl" w:eastAsia="es-ES_tradnl"/>
        </w:rPr>
      </w:pPr>
    </w:p>
    <w:p w14:paraId="167200A2" w14:textId="6E013C9E" w:rsidR="006E351B" w:rsidRPr="00C8275B" w:rsidRDefault="006E351B" w:rsidP="006E351B">
      <w:pPr>
        <w:shd w:val="clear" w:color="auto" w:fill="FFFFFF"/>
        <w:ind w:left="709"/>
        <w:jc w:val="both"/>
        <w:rPr>
          <w:rFonts w:ascii="Times New Roman" w:hAnsi="Times New Roman" w:cs="Times New Roman"/>
          <w:b/>
          <w:sz w:val="22"/>
          <w:szCs w:val="22"/>
          <w:u w:val="single"/>
          <w:lang w:val="es-ES_tradnl" w:eastAsia="es-ES_tradnl"/>
        </w:rPr>
      </w:pPr>
      <w:r w:rsidRPr="00C8275B">
        <w:rPr>
          <w:rFonts w:ascii="Times New Roman" w:hAnsi="Times New Roman" w:cs="Times New Roman"/>
          <w:b/>
          <w:sz w:val="22"/>
          <w:szCs w:val="22"/>
          <w:u w:val="single"/>
          <w:lang w:val="es-ES_tradnl" w:eastAsia="es-ES_tradnl"/>
        </w:rPr>
        <w:t>Bienes cedidos de Dominio Público</w:t>
      </w:r>
    </w:p>
    <w:p w14:paraId="2E8F0019" w14:textId="77777777" w:rsidR="006E351B" w:rsidRPr="00C8275B" w:rsidRDefault="006E351B" w:rsidP="006E351B">
      <w:pPr>
        <w:shd w:val="clear" w:color="auto" w:fill="FFFFFF"/>
        <w:ind w:left="709"/>
        <w:jc w:val="both"/>
        <w:rPr>
          <w:rFonts w:ascii="Times New Roman" w:hAnsi="Times New Roman" w:cs="Times New Roman"/>
          <w:b/>
          <w:sz w:val="22"/>
          <w:szCs w:val="22"/>
          <w:lang w:val="es-ES_tradnl" w:eastAsia="es-ES_tradnl"/>
        </w:rPr>
      </w:pPr>
    </w:p>
    <w:p w14:paraId="3F03903B" w14:textId="371850E0"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2012 se activó en el inmovilizado material, el Edificio Miller sito en la calle Simón Bolívar </w:t>
      </w:r>
      <w:r w:rsidRPr="00C8275B">
        <w:rPr>
          <w:rFonts w:ascii="Times New Roman" w:hAnsi="Times New Roman" w:cs="Times New Roman"/>
          <w:spacing w:val="-2"/>
          <w:sz w:val="22"/>
          <w:szCs w:val="22"/>
          <w:lang w:val="es-ES_tradnl" w:eastAsia="es-ES_tradnl"/>
        </w:rPr>
        <w:lastRenderedPageBreak/>
        <w:t xml:space="preserve">número 12 y el Castillo de Mata, sito en la carretera de Mata,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06C0F669" w14:textId="77777777" w:rsidR="006E351B" w:rsidRPr="00C8275B" w:rsidRDefault="006E351B" w:rsidP="006E351B">
      <w:pPr>
        <w:shd w:val="clear" w:color="auto" w:fill="FFFFFF"/>
        <w:ind w:left="720"/>
        <w:jc w:val="both"/>
        <w:rPr>
          <w:rFonts w:ascii="Times New Roman" w:hAnsi="Times New Roman" w:cs="Times New Roman"/>
          <w:spacing w:val="-2"/>
          <w:sz w:val="22"/>
          <w:szCs w:val="22"/>
          <w:lang w:val="es-ES_tradnl" w:eastAsia="es-ES_tradnl"/>
        </w:rPr>
      </w:pPr>
    </w:p>
    <w:p w14:paraId="33B9DEDB"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7CA740AF"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37698491" w14:textId="12BB1154"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importe de subvenciones, donaciones y legados pendiente</w:t>
      </w:r>
      <w:r w:rsidR="001B37C5" w:rsidRPr="00C8275B">
        <w:rPr>
          <w:rFonts w:ascii="Times New Roman" w:hAnsi="Times New Roman" w:cs="Times New Roman"/>
          <w:spacing w:val="-2"/>
          <w:sz w:val="22"/>
          <w:szCs w:val="22"/>
          <w:lang w:val="es-ES_tradnl" w:eastAsia="es-ES_tradnl"/>
        </w:rPr>
        <w:t>s</w:t>
      </w:r>
      <w:r w:rsidR="00FF3574" w:rsidRPr="00C8275B">
        <w:rPr>
          <w:rFonts w:ascii="Times New Roman" w:hAnsi="Times New Roman" w:cs="Times New Roman"/>
          <w:spacing w:val="-2"/>
          <w:sz w:val="22"/>
          <w:szCs w:val="22"/>
          <w:lang w:val="es-ES_tradnl" w:eastAsia="es-ES_tradnl"/>
        </w:rPr>
        <w:t xml:space="preserve"> a 31 de diciembre de 202</w:t>
      </w:r>
      <w:r w:rsidR="001F277B" w:rsidRPr="00C8275B">
        <w:rPr>
          <w:rFonts w:ascii="Times New Roman" w:hAnsi="Times New Roman" w:cs="Times New Roman"/>
          <w:spacing w:val="-2"/>
          <w:sz w:val="22"/>
          <w:szCs w:val="22"/>
          <w:lang w:val="es-ES_tradnl" w:eastAsia="es-ES_tradnl"/>
        </w:rPr>
        <w:t>2</w:t>
      </w:r>
      <w:r w:rsidRPr="00C8275B">
        <w:rPr>
          <w:rFonts w:ascii="Times New Roman" w:hAnsi="Times New Roman" w:cs="Times New Roman"/>
          <w:spacing w:val="-2"/>
          <w:sz w:val="22"/>
          <w:szCs w:val="22"/>
          <w:lang w:val="es-ES_tradnl" w:eastAsia="es-ES_tradnl"/>
        </w:rPr>
        <w:t xml:space="preserve"> de ambos inmuebles asciende a </w:t>
      </w:r>
      <w:r w:rsidR="001B37C5" w:rsidRPr="00C8275B">
        <w:rPr>
          <w:rFonts w:ascii="Times New Roman" w:hAnsi="Times New Roman" w:cs="Times New Roman"/>
          <w:spacing w:val="-2"/>
          <w:sz w:val="22"/>
          <w:szCs w:val="22"/>
          <w:lang w:val="es-ES_tradnl" w:eastAsia="es-ES_tradnl"/>
        </w:rPr>
        <w:t>6.</w:t>
      </w:r>
      <w:r w:rsidR="00D24CA1" w:rsidRPr="00C8275B">
        <w:rPr>
          <w:rFonts w:ascii="Times New Roman" w:hAnsi="Times New Roman" w:cs="Times New Roman"/>
          <w:spacing w:val="-2"/>
          <w:sz w:val="22"/>
          <w:szCs w:val="22"/>
          <w:lang w:val="es-ES_tradnl" w:eastAsia="es-ES_tradnl"/>
        </w:rPr>
        <w:t>5</w:t>
      </w:r>
      <w:r w:rsidR="001F277B" w:rsidRPr="00C8275B">
        <w:rPr>
          <w:rFonts w:ascii="Times New Roman" w:hAnsi="Times New Roman" w:cs="Times New Roman"/>
          <w:spacing w:val="-2"/>
          <w:sz w:val="22"/>
          <w:szCs w:val="22"/>
          <w:lang w:val="es-ES_tradnl" w:eastAsia="es-ES_tradnl"/>
        </w:rPr>
        <w:t>0</w:t>
      </w:r>
      <w:r w:rsidR="00D24CA1" w:rsidRPr="00C8275B">
        <w:rPr>
          <w:rFonts w:ascii="Times New Roman" w:hAnsi="Times New Roman" w:cs="Times New Roman"/>
          <w:spacing w:val="-2"/>
          <w:sz w:val="22"/>
          <w:szCs w:val="22"/>
          <w:lang w:val="es-ES_tradnl" w:eastAsia="es-ES_tradnl"/>
        </w:rPr>
        <w:t>4</w:t>
      </w:r>
      <w:r w:rsidR="001B37C5"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949</w:t>
      </w:r>
      <w:r w:rsidR="001B37C5"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01</w:t>
      </w:r>
      <w:r w:rsidR="001B37C5" w:rsidRPr="00C8275B">
        <w:rPr>
          <w:rFonts w:ascii="Times New Roman" w:hAnsi="Times New Roman" w:cs="Times New Roman"/>
          <w:spacing w:val="-2"/>
          <w:sz w:val="22"/>
          <w:szCs w:val="22"/>
          <w:lang w:val="es-ES_tradnl" w:eastAsia="es-ES_tradnl"/>
        </w:rPr>
        <w:t xml:space="preserve"> euros.</w:t>
      </w:r>
    </w:p>
    <w:p w14:paraId="660F866A" w14:textId="77777777" w:rsidR="00205A13" w:rsidRPr="00C8275B" w:rsidRDefault="00205A13" w:rsidP="006E351B">
      <w:pPr>
        <w:shd w:val="clear" w:color="auto" w:fill="FFFFFF"/>
        <w:ind w:left="709"/>
        <w:jc w:val="both"/>
        <w:rPr>
          <w:rFonts w:ascii="Times New Roman" w:hAnsi="Times New Roman" w:cs="Times New Roman"/>
          <w:spacing w:val="-2"/>
          <w:sz w:val="22"/>
          <w:szCs w:val="22"/>
          <w:lang w:val="es-ES_tradnl" w:eastAsia="es-ES_tradnl"/>
        </w:rPr>
      </w:pPr>
    </w:p>
    <w:p w14:paraId="7CA4853E"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C8275B">
        <w:rPr>
          <w:rFonts w:ascii="Times New Roman" w:hAnsi="Times New Roman" w:cs="Times New Roman"/>
          <w:spacing w:val="-2"/>
          <w:sz w:val="22"/>
          <w:szCs w:val="22"/>
          <w:lang w:val="es-ES_tradnl" w:eastAsia="es-ES_tradnl"/>
        </w:rPr>
        <w:t>nº</w:t>
      </w:r>
      <w:proofErr w:type="spellEnd"/>
      <w:r w:rsidRPr="00C8275B">
        <w:rPr>
          <w:rFonts w:ascii="Times New Roman" w:hAnsi="Times New Roman" w:cs="Times New Roman"/>
          <w:spacing w:val="-2"/>
          <w:sz w:val="22"/>
          <w:szCs w:val="22"/>
          <w:lang w:val="es-ES_tradnl" w:eastAsia="es-ES_tradnl"/>
        </w:rPr>
        <w:t xml:space="preserve"> 1, en el distrito Vegueta-Cono Sur y Tafira; y El Palacete Rodriguez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sito en la calle Benito Pérez </w:t>
      </w:r>
      <w:proofErr w:type="spellStart"/>
      <w:r w:rsidRPr="00C8275B">
        <w:rPr>
          <w:rFonts w:ascii="Times New Roman" w:hAnsi="Times New Roman" w:cs="Times New Roman"/>
          <w:spacing w:val="-2"/>
          <w:sz w:val="22"/>
          <w:szCs w:val="22"/>
          <w:lang w:val="es-ES_tradnl" w:eastAsia="es-ES_tradnl"/>
        </w:rPr>
        <w:t>Galdos</w:t>
      </w:r>
      <w:proofErr w:type="spellEnd"/>
      <w:r w:rsidRPr="00C8275B">
        <w:rPr>
          <w:rFonts w:ascii="Times New Roman" w:hAnsi="Times New Roman" w:cs="Times New Roman"/>
          <w:spacing w:val="-2"/>
          <w:sz w:val="22"/>
          <w:szCs w:val="22"/>
          <w:lang w:val="es-ES_tradnl" w:eastAsia="es-ES_tradnl"/>
        </w:rPr>
        <w:t xml:space="preserve">, escritor </w:t>
      </w:r>
      <w:proofErr w:type="spellStart"/>
      <w:r w:rsidRPr="00C8275B">
        <w:rPr>
          <w:rFonts w:ascii="Times New Roman" w:hAnsi="Times New Roman" w:cs="Times New Roman"/>
          <w:spacing w:val="-2"/>
          <w:sz w:val="22"/>
          <w:szCs w:val="22"/>
          <w:lang w:val="es-ES_tradnl" w:eastAsia="es-ES_tradnl"/>
        </w:rPr>
        <w:t>nº</w:t>
      </w:r>
      <w:proofErr w:type="spellEnd"/>
      <w:r w:rsidRPr="00C8275B">
        <w:rPr>
          <w:rFonts w:ascii="Times New Roman" w:hAnsi="Times New Roman" w:cs="Times New Roman"/>
          <w:spacing w:val="-2"/>
          <w:sz w:val="22"/>
          <w:szCs w:val="22"/>
          <w:lang w:val="es-ES_tradnl" w:eastAsia="es-ES_tradnl"/>
        </w:rPr>
        <w:t xml:space="preserve"> 4, en el distrito Centro de Las Palmas de Gran Canaria; bienes cedidos en uso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w:t>
      </w:r>
      <w:proofErr w:type="gramStart"/>
      <w:r w:rsidRPr="00C8275B">
        <w:rPr>
          <w:rFonts w:ascii="Times New Roman" w:hAnsi="Times New Roman" w:cs="Times New Roman"/>
          <w:spacing w:val="-2"/>
          <w:sz w:val="22"/>
          <w:szCs w:val="22"/>
          <w:lang w:val="es-ES_tradnl" w:eastAsia="es-ES_tradnl"/>
        </w:rPr>
        <w:t>Euros</w:t>
      </w:r>
      <w:proofErr w:type="gramEnd"/>
      <w:r w:rsidRPr="00C8275B">
        <w:rPr>
          <w:rFonts w:ascii="Times New Roman" w:hAnsi="Times New Roman" w:cs="Times New Roman"/>
          <w:spacing w:val="-2"/>
          <w:sz w:val="22"/>
          <w:szCs w:val="22"/>
          <w:lang w:val="es-ES_tradnl" w:eastAsia="es-ES_tradnl"/>
        </w:rPr>
        <w:t xml:space="preserve">. Esta valoración fue aportada por la compañía de seguros contratada por el </w:t>
      </w:r>
      <w:r w:rsidR="00A91F42" w:rsidRPr="00C8275B">
        <w:rPr>
          <w:rFonts w:ascii="Times New Roman" w:hAnsi="Times New Roman" w:cs="Times New Roman"/>
          <w:spacing w:val="-2"/>
          <w:sz w:val="22"/>
          <w:szCs w:val="22"/>
          <w:lang w:val="es-ES_tradnl" w:eastAsia="es-ES_tradnl"/>
        </w:rPr>
        <w:t>Excmo. Ayuntamiento</w:t>
      </w:r>
      <w:r w:rsidRPr="00C8275B">
        <w:rPr>
          <w:rFonts w:ascii="Times New Roman" w:hAnsi="Times New Roman" w:cs="Times New Roman"/>
          <w:spacing w:val="-2"/>
          <w:sz w:val="22"/>
          <w:szCs w:val="22"/>
          <w:lang w:val="es-ES_tradnl" w:eastAsia="es-ES_tradnl"/>
        </w:rPr>
        <w:t xml:space="preserve"> de Las Palmas de Gran Canaria en el momento de la cesión de los bienes. </w:t>
      </w:r>
    </w:p>
    <w:p w14:paraId="4E989B93"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4F954093"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 xml:space="preserve">Dichas activaciones realizas en el ejercicio 2015, del Conjunto Castillo de la Luz y Pabellón anexo, del equipamiento cultural el Molino de las Magnolias y del Palacete Rodriguez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C8275B">
        <w:rPr>
          <w:rFonts w:ascii="Times New Roman" w:hAnsi="Times New Roman" w:cs="Times New Roman"/>
          <w:spacing w:val="-2"/>
          <w:sz w:val="22"/>
          <w:szCs w:val="22"/>
          <w:lang w:val="es-ES_tradnl" w:eastAsia="es-ES_tradnl"/>
        </w:rPr>
        <w:t>Promocion</w:t>
      </w:r>
      <w:proofErr w:type="spellEnd"/>
      <w:r w:rsidRPr="00C8275B">
        <w:rPr>
          <w:rFonts w:ascii="Times New Roman" w:hAnsi="Times New Roman" w:cs="Times New Roman"/>
          <w:spacing w:val="-2"/>
          <w:sz w:val="22"/>
          <w:szCs w:val="22"/>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w:t>
      </w:r>
      <w:proofErr w:type="spellStart"/>
      <w:r w:rsidRPr="00C8275B">
        <w:rPr>
          <w:rFonts w:ascii="Times New Roman" w:hAnsi="Times New Roman" w:cs="Times New Roman"/>
          <w:spacing w:val="-2"/>
          <w:sz w:val="22"/>
          <w:szCs w:val="22"/>
          <w:lang w:val="es-ES_tradnl" w:eastAsia="es-ES_tradnl"/>
        </w:rPr>
        <w:t>Quegles</w:t>
      </w:r>
      <w:proofErr w:type="spellEnd"/>
      <w:r w:rsidRPr="00C8275B">
        <w:rPr>
          <w:rFonts w:ascii="Times New Roman" w:hAnsi="Times New Roman" w:cs="Times New Roman"/>
          <w:spacing w:val="-2"/>
          <w:sz w:val="22"/>
          <w:szCs w:val="22"/>
          <w:lang w:val="es-ES_tradnl" w:eastAsia="es-ES_tradnl"/>
        </w:rPr>
        <w:t xml:space="preserve"> se adscribió con la Resolución número 11304/2015 de fecha 09 de mayo 2015.</w:t>
      </w:r>
    </w:p>
    <w:p w14:paraId="2BDB3001" w14:textId="77777777" w:rsidR="006E351B" w:rsidRPr="00C8275B" w:rsidRDefault="006E351B" w:rsidP="006E351B">
      <w:pPr>
        <w:shd w:val="clear" w:color="auto" w:fill="FFFFFF"/>
        <w:ind w:left="709"/>
        <w:jc w:val="both"/>
        <w:rPr>
          <w:rFonts w:ascii="Times New Roman" w:hAnsi="Times New Roman" w:cs="Times New Roman"/>
          <w:spacing w:val="-2"/>
          <w:sz w:val="22"/>
          <w:szCs w:val="22"/>
          <w:lang w:val="es-ES_tradnl" w:eastAsia="es-ES_tradnl"/>
        </w:rPr>
      </w:pPr>
    </w:p>
    <w:p w14:paraId="12CD5FB9" w14:textId="6A13607D" w:rsidR="001B37C5" w:rsidRPr="00C8275B" w:rsidRDefault="001B37C5" w:rsidP="001B37C5">
      <w:pPr>
        <w:shd w:val="clear" w:color="auto" w:fill="FFFFFF"/>
        <w:ind w:left="709"/>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2"/>
          <w:sz w:val="22"/>
          <w:szCs w:val="22"/>
          <w:lang w:val="es-ES_tradnl" w:eastAsia="es-ES_tradnl"/>
        </w:rPr>
        <w:t>El importe de subvenciones, donaciones y legados pend</w:t>
      </w:r>
      <w:r w:rsidR="006230BA" w:rsidRPr="00C8275B">
        <w:rPr>
          <w:rFonts w:ascii="Times New Roman" w:hAnsi="Times New Roman" w:cs="Times New Roman"/>
          <w:spacing w:val="-2"/>
          <w:sz w:val="22"/>
          <w:szCs w:val="22"/>
          <w:lang w:val="es-ES_tradnl" w:eastAsia="es-ES_tradnl"/>
        </w:rPr>
        <w:t xml:space="preserve">ientes a 31 de diciembre de </w:t>
      </w:r>
      <w:r w:rsidR="00FB571E" w:rsidRPr="00C8275B">
        <w:rPr>
          <w:rFonts w:ascii="Times New Roman" w:hAnsi="Times New Roman" w:cs="Times New Roman"/>
          <w:spacing w:val="-2"/>
          <w:sz w:val="22"/>
          <w:szCs w:val="22"/>
          <w:lang w:val="es-ES_tradnl" w:eastAsia="es-ES_tradnl"/>
        </w:rPr>
        <w:t>2022</w:t>
      </w:r>
      <w:r w:rsidRPr="00C8275B">
        <w:rPr>
          <w:rFonts w:ascii="Times New Roman" w:hAnsi="Times New Roman" w:cs="Times New Roman"/>
          <w:spacing w:val="-2"/>
          <w:sz w:val="22"/>
          <w:szCs w:val="22"/>
          <w:lang w:val="es-ES_tradnl" w:eastAsia="es-ES_tradnl"/>
        </w:rPr>
        <w:t xml:space="preserve"> de los inmuebles descritos en el apartado anterior asciende a </w:t>
      </w:r>
      <w:r w:rsidR="00D24CA1" w:rsidRPr="00C8275B">
        <w:rPr>
          <w:rFonts w:ascii="Times New Roman" w:hAnsi="Times New Roman" w:cs="Times New Roman"/>
          <w:spacing w:val="-2"/>
          <w:sz w:val="22"/>
          <w:szCs w:val="22"/>
          <w:lang w:val="es-ES_tradnl" w:eastAsia="es-ES_tradnl"/>
        </w:rPr>
        <w:t>8</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877</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904</w:t>
      </w:r>
      <w:r w:rsidRPr="00C8275B">
        <w:rPr>
          <w:rFonts w:ascii="Times New Roman" w:hAnsi="Times New Roman" w:cs="Times New Roman"/>
          <w:spacing w:val="-2"/>
          <w:sz w:val="22"/>
          <w:szCs w:val="22"/>
          <w:lang w:val="es-ES_tradnl" w:eastAsia="es-ES_tradnl"/>
        </w:rPr>
        <w:t>,</w:t>
      </w:r>
      <w:r w:rsidR="001F277B" w:rsidRPr="00C8275B">
        <w:rPr>
          <w:rFonts w:ascii="Times New Roman" w:hAnsi="Times New Roman" w:cs="Times New Roman"/>
          <w:spacing w:val="-2"/>
          <w:sz w:val="22"/>
          <w:szCs w:val="22"/>
          <w:lang w:val="es-ES_tradnl" w:eastAsia="es-ES_tradnl"/>
        </w:rPr>
        <w:t>51</w:t>
      </w:r>
      <w:r w:rsidRPr="00C8275B">
        <w:rPr>
          <w:rFonts w:ascii="Times New Roman" w:hAnsi="Times New Roman" w:cs="Times New Roman"/>
          <w:spacing w:val="-2"/>
          <w:sz w:val="22"/>
          <w:szCs w:val="22"/>
          <w:lang w:val="es-ES_tradnl" w:eastAsia="es-ES_tradnl"/>
        </w:rPr>
        <w:t xml:space="preserve"> euros.</w:t>
      </w:r>
    </w:p>
    <w:p w14:paraId="6BDDE903" w14:textId="77777777" w:rsidR="009B4B09" w:rsidRDefault="009B4B09" w:rsidP="009B4B09">
      <w:pPr>
        <w:shd w:val="clear" w:color="auto" w:fill="FFFFFF"/>
        <w:ind w:left="720" w:right="7"/>
        <w:jc w:val="both"/>
        <w:rPr>
          <w:rFonts w:ascii="Times New Roman" w:hAnsi="Times New Roman" w:cs="Times New Roman"/>
          <w:spacing w:val="-3"/>
          <w:sz w:val="22"/>
          <w:szCs w:val="22"/>
          <w:lang w:eastAsia="es-ES_tradnl"/>
        </w:rPr>
      </w:pPr>
    </w:p>
    <w:p w14:paraId="14A35106" w14:textId="37A23209" w:rsidR="00B473A7" w:rsidRDefault="00B473A7" w:rsidP="009B4B09">
      <w:pPr>
        <w:shd w:val="clear" w:color="auto" w:fill="FFFFFF"/>
        <w:ind w:left="720" w:right="7"/>
        <w:jc w:val="both"/>
        <w:rPr>
          <w:rFonts w:ascii="Times New Roman" w:hAnsi="Times New Roman" w:cs="Times New Roman"/>
          <w:spacing w:val="-3"/>
          <w:sz w:val="22"/>
          <w:szCs w:val="22"/>
          <w:lang w:val="es-ES_tradnl" w:eastAsia="es-ES_tradnl"/>
        </w:rPr>
      </w:pPr>
    </w:p>
    <w:p w14:paraId="6466577D" w14:textId="77777777" w:rsidR="00486703" w:rsidRPr="00C8275B" w:rsidRDefault="00486703" w:rsidP="009B4B09">
      <w:pPr>
        <w:shd w:val="clear" w:color="auto" w:fill="FFFFFF"/>
        <w:ind w:left="720" w:right="7"/>
        <w:jc w:val="both"/>
        <w:rPr>
          <w:rFonts w:ascii="Times New Roman" w:hAnsi="Times New Roman" w:cs="Times New Roman"/>
          <w:spacing w:val="-3"/>
          <w:sz w:val="22"/>
          <w:szCs w:val="22"/>
          <w:lang w:val="es-ES_tradnl" w:eastAsia="es-ES_tradnl"/>
        </w:rPr>
      </w:pPr>
    </w:p>
    <w:p w14:paraId="49202015" w14:textId="04310739" w:rsidR="006C0067" w:rsidRPr="00C8275B" w:rsidRDefault="0076239A" w:rsidP="00934221">
      <w:pPr>
        <w:shd w:val="clear" w:color="auto" w:fill="FFFFFF"/>
        <w:ind w:firstLine="709"/>
        <w:jc w:val="both"/>
        <w:rPr>
          <w:rFonts w:ascii="Times New Roman" w:hAnsi="Times New Roman" w:cs="Times New Roman"/>
          <w:b/>
          <w:bCs/>
          <w:spacing w:val="-3"/>
          <w:sz w:val="22"/>
          <w:szCs w:val="22"/>
          <w:u w:val="double"/>
          <w:lang w:val="es-ES_tradnl" w:eastAsia="es-ES_tradnl"/>
        </w:rPr>
      </w:pPr>
      <w:r w:rsidRPr="00C8275B">
        <w:rPr>
          <w:rFonts w:ascii="Times New Roman" w:hAnsi="Times New Roman" w:cs="Times New Roman"/>
          <w:b/>
          <w:bCs/>
          <w:spacing w:val="-3"/>
          <w:sz w:val="22"/>
          <w:szCs w:val="22"/>
          <w:lang w:val="es-ES_tradnl" w:eastAsia="es-ES_tradnl"/>
        </w:rPr>
        <w:t>1</w:t>
      </w:r>
      <w:r w:rsidR="008513D2" w:rsidRPr="00C8275B">
        <w:rPr>
          <w:rFonts w:ascii="Times New Roman" w:hAnsi="Times New Roman" w:cs="Times New Roman"/>
          <w:b/>
          <w:bCs/>
          <w:spacing w:val="-3"/>
          <w:sz w:val="22"/>
          <w:szCs w:val="22"/>
          <w:lang w:val="es-ES_tradnl" w:eastAsia="es-ES_tradnl"/>
        </w:rPr>
        <w:t>3</w:t>
      </w:r>
      <w:r w:rsidR="006C0067" w:rsidRPr="00C8275B">
        <w:rPr>
          <w:rFonts w:ascii="Times New Roman" w:hAnsi="Times New Roman" w:cs="Times New Roman"/>
          <w:b/>
          <w:bCs/>
          <w:spacing w:val="-3"/>
          <w:sz w:val="22"/>
          <w:szCs w:val="22"/>
          <w:lang w:val="es-ES_tradnl" w:eastAsia="es-ES_tradnl"/>
        </w:rPr>
        <w:t xml:space="preserve">. </w:t>
      </w:r>
      <w:r w:rsidR="006C0067" w:rsidRPr="00C8275B">
        <w:rPr>
          <w:rFonts w:ascii="Times New Roman" w:hAnsi="Times New Roman" w:cs="Times New Roman"/>
          <w:b/>
          <w:bCs/>
          <w:spacing w:val="-3"/>
          <w:sz w:val="22"/>
          <w:szCs w:val="22"/>
          <w:u w:val="double"/>
          <w:lang w:val="es-ES_tradnl" w:eastAsia="es-ES_tradnl"/>
        </w:rPr>
        <w:t>OPERACIONES CON PARTES VINCULADAS</w:t>
      </w:r>
    </w:p>
    <w:p w14:paraId="707B9FD7" w14:textId="77777777" w:rsidR="006C0067" w:rsidRPr="00C8275B" w:rsidRDefault="006C0067" w:rsidP="006C0067">
      <w:pPr>
        <w:shd w:val="clear" w:color="auto" w:fill="FFFFFF"/>
        <w:ind w:left="1249"/>
        <w:jc w:val="both"/>
        <w:rPr>
          <w:rFonts w:ascii="Times New Roman" w:hAnsi="Times New Roman" w:cs="Times New Roman"/>
          <w:sz w:val="22"/>
          <w:szCs w:val="22"/>
        </w:rPr>
      </w:pPr>
    </w:p>
    <w:p w14:paraId="51AFEF9E" w14:textId="5843D09A" w:rsidR="005107B8" w:rsidRDefault="005107B8" w:rsidP="005107B8">
      <w:pPr>
        <w:shd w:val="clear" w:color="auto" w:fill="FFFFFF"/>
        <w:ind w:left="720" w:right="22"/>
        <w:jc w:val="both"/>
        <w:rPr>
          <w:rFonts w:ascii="Times New Roman" w:hAnsi="Times New Roman" w:cs="Times New Roman"/>
          <w:sz w:val="22"/>
          <w:szCs w:val="22"/>
          <w:lang w:val="es-ES_tradnl" w:eastAsia="es-ES_tradnl"/>
        </w:rPr>
      </w:pPr>
      <w:r w:rsidRPr="00C8275B">
        <w:rPr>
          <w:rFonts w:ascii="Times New Roman" w:hAnsi="Times New Roman" w:cs="Times New Roman"/>
          <w:spacing w:val="-3"/>
          <w:sz w:val="22"/>
          <w:szCs w:val="22"/>
          <w:lang w:val="es-ES_tradnl" w:eastAsia="es-ES_tradnl"/>
        </w:rPr>
        <w:t xml:space="preserve">La Sociedad ha seguido el criterio de imputar al epígrafe de Otros Ingresos de Explotación, </w:t>
      </w:r>
      <w:r w:rsidRPr="00C8275B">
        <w:rPr>
          <w:rFonts w:ascii="Times New Roman" w:hAnsi="Times New Roman" w:cs="Times New Roman"/>
          <w:spacing w:val="-1"/>
          <w:sz w:val="22"/>
          <w:szCs w:val="22"/>
          <w:lang w:val="es-ES_tradnl" w:eastAsia="es-ES_tradnl"/>
        </w:rPr>
        <w:t xml:space="preserve">que figura en el capítulo de Ingresos de la Cuenta de Pérdidas y Ganancias de Pymes, los importes detallados a continuación, en concepto de Transferencias corrientes y Subvenciones </w:t>
      </w:r>
      <w:r w:rsidRPr="00C8275B">
        <w:rPr>
          <w:rFonts w:ascii="Times New Roman" w:hAnsi="Times New Roman" w:cs="Times New Roman"/>
          <w:sz w:val="22"/>
          <w:szCs w:val="22"/>
          <w:lang w:val="es-ES_tradnl" w:eastAsia="es-ES_tradnl"/>
        </w:rPr>
        <w:t>procedentes del socio único, el Excmo. Ayuntamiento de Las Palmas de Gran Canaria, habida cuenta de que dichas transferencias no se destinan exclusivamente a financiar gastos de funcionamiento de la Sociedad:</w:t>
      </w:r>
    </w:p>
    <w:p w14:paraId="3CA68654" w14:textId="5B7C0AF2" w:rsidR="00F745AD" w:rsidRDefault="00F745AD" w:rsidP="005107B8">
      <w:pPr>
        <w:shd w:val="clear" w:color="auto" w:fill="FFFFFF"/>
        <w:ind w:left="720" w:right="22"/>
        <w:jc w:val="both"/>
        <w:rPr>
          <w:rFonts w:ascii="Times New Roman" w:hAnsi="Times New Roman" w:cs="Times New Roman"/>
          <w:sz w:val="22"/>
          <w:szCs w:val="22"/>
          <w:lang w:val="es-ES_tradnl" w:eastAsia="es-ES_tradnl"/>
        </w:rPr>
      </w:pPr>
    </w:p>
    <w:tbl>
      <w:tblPr>
        <w:tblW w:w="502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81"/>
        <w:gridCol w:w="1372"/>
        <w:gridCol w:w="1372"/>
      </w:tblGrid>
      <w:tr w:rsidR="00B73F85" w:rsidRPr="00B73F85" w14:paraId="61D333DC" w14:textId="77777777" w:rsidTr="00B73F85">
        <w:trPr>
          <w:trHeight w:val="322"/>
          <w:jc w:val="center"/>
        </w:trPr>
        <w:tc>
          <w:tcPr>
            <w:tcW w:w="0" w:type="auto"/>
            <w:tcBorders>
              <w:top w:val="single" w:sz="4" w:space="0" w:color="auto"/>
              <w:bottom w:val="single" w:sz="4" w:space="0" w:color="auto"/>
            </w:tcBorders>
            <w:shd w:val="clear" w:color="000000" w:fill="FFFFFF"/>
            <w:vAlign w:val="center"/>
          </w:tcPr>
          <w:p w14:paraId="6E031963" w14:textId="77777777" w:rsidR="00B73F85" w:rsidRPr="00B73F85" w:rsidRDefault="00B73F85" w:rsidP="00F745AD">
            <w:pPr>
              <w:widowControl/>
              <w:autoSpaceDE/>
              <w:autoSpaceDN/>
              <w:adjustRightInd/>
              <w:jc w:val="center"/>
              <w:rPr>
                <w:rFonts w:ascii="Times New Roman" w:hAnsi="Times New Roman" w:cs="Times New Roman"/>
                <w:sz w:val="18"/>
                <w:szCs w:val="18"/>
              </w:rPr>
            </w:pPr>
          </w:p>
        </w:tc>
        <w:tc>
          <w:tcPr>
            <w:tcW w:w="0" w:type="auto"/>
            <w:tcBorders>
              <w:top w:val="single" w:sz="4" w:space="0" w:color="auto"/>
              <w:bottom w:val="single" w:sz="4" w:space="0" w:color="auto"/>
            </w:tcBorders>
            <w:shd w:val="clear" w:color="000000" w:fill="FFFFFF"/>
            <w:vAlign w:val="center"/>
          </w:tcPr>
          <w:p w14:paraId="07F1ECE5" w14:textId="1286B8D0" w:rsidR="00B73F85" w:rsidRPr="00B73F85" w:rsidRDefault="00B73F85"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2022</w:t>
            </w:r>
          </w:p>
        </w:tc>
        <w:tc>
          <w:tcPr>
            <w:tcW w:w="0" w:type="auto"/>
            <w:tcBorders>
              <w:top w:val="single" w:sz="4" w:space="0" w:color="auto"/>
              <w:bottom w:val="single" w:sz="4" w:space="0" w:color="auto"/>
            </w:tcBorders>
            <w:shd w:val="clear" w:color="000000" w:fill="FFFFFF"/>
            <w:vAlign w:val="center"/>
          </w:tcPr>
          <w:p w14:paraId="6719BF77" w14:textId="6CF32890" w:rsidR="00B73F85" w:rsidRPr="00B73F85" w:rsidRDefault="00B73F85"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2021</w:t>
            </w:r>
          </w:p>
        </w:tc>
      </w:tr>
      <w:tr w:rsidR="00F745AD" w:rsidRPr="00B73F85" w14:paraId="3EAB2AB9" w14:textId="77777777" w:rsidTr="00B73F85">
        <w:trPr>
          <w:trHeight w:val="322"/>
          <w:jc w:val="center"/>
        </w:trPr>
        <w:tc>
          <w:tcPr>
            <w:tcW w:w="0" w:type="auto"/>
            <w:tcBorders>
              <w:top w:val="single" w:sz="4" w:space="0" w:color="auto"/>
              <w:bottom w:val="single" w:sz="4" w:space="0" w:color="auto"/>
            </w:tcBorders>
            <w:shd w:val="clear" w:color="000000" w:fill="FFFFFF"/>
            <w:vAlign w:val="center"/>
            <w:hideMark/>
          </w:tcPr>
          <w:p w14:paraId="0C6367A8" w14:textId="77777777" w:rsidR="00F745AD" w:rsidRPr="00B73F85" w:rsidRDefault="00F745AD" w:rsidP="00B73F85">
            <w:pPr>
              <w:widowControl/>
              <w:autoSpaceDE/>
              <w:autoSpaceDN/>
              <w:adjustRightInd/>
              <w:rPr>
                <w:rFonts w:ascii="Times New Roman" w:hAnsi="Times New Roman" w:cs="Times New Roman"/>
                <w:sz w:val="18"/>
                <w:szCs w:val="18"/>
              </w:rPr>
            </w:pPr>
            <w:r w:rsidRPr="00B73F85">
              <w:rPr>
                <w:rFonts w:ascii="Times New Roman" w:hAnsi="Times New Roman" w:cs="Times New Roman"/>
                <w:sz w:val="18"/>
                <w:szCs w:val="18"/>
              </w:rPr>
              <w:t>Transferencias corrientes</w:t>
            </w:r>
          </w:p>
        </w:tc>
        <w:tc>
          <w:tcPr>
            <w:tcW w:w="0" w:type="auto"/>
            <w:tcBorders>
              <w:top w:val="single" w:sz="4" w:space="0" w:color="auto"/>
              <w:bottom w:val="single" w:sz="4" w:space="0" w:color="auto"/>
            </w:tcBorders>
            <w:shd w:val="clear" w:color="000000" w:fill="FFFFFF"/>
            <w:vAlign w:val="center"/>
            <w:hideMark/>
          </w:tcPr>
          <w:p w14:paraId="5C8C46DC" w14:textId="77777777" w:rsidR="00F745AD" w:rsidRPr="00B73F85" w:rsidRDefault="00F745AD" w:rsidP="00F745AD">
            <w:pPr>
              <w:widowControl/>
              <w:autoSpaceDE/>
              <w:autoSpaceDN/>
              <w:adjustRightInd/>
              <w:jc w:val="center"/>
              <w:rPr>
                <w:rFonts w:ascii="Times New Roman" w:hAnsi="Times New Roman" w:cs="Times New Roman"/>
                <w:sz w:val="18"/>
                <w:szCs w:val="18"/>
              </w:rPr>
            </w:pPr>
            <w:r w:rsidRPr="00B73F85">
              <w:rPr>
                <w:rFonts w:ascii="Times New Roman" w:hAnsi="Times New Roman" w:cs="Times New Roman"/>
                <w:sz w:val="18"/>
                <w:szCs w:val="18"/>
              </w:rPr>
              <w:t>15.601.511,38</w:t>
            </w:r>
          </w:p>
        </w:tc>
        <w:tc>
          <w:tcPr>
            <w:tcW w:w="0" w:type="auto"/>
            <w:tcBorders>
              <w:top w:val="single" w:sz="4" w:space="0" w:color="auto"/>
              <w:bottom w:val="single" w:sz="4" w:space="0" w:color="auto"/>
            </w:tcBorders>
            <w:shd w:val="clear" w:color="000000" w:fill="FFFFFF"/>
            <w:vAlign w:val="center"/>
            <w:hideMark/>
          </w:tcPr>
          <w:p w14:paraId="0C8753EC" w14:textId="77777777" w:rsidR="00F745AD" w:rsidRPr="00B73F85" w:rsidRDefault="00F745AD" w:rsidP="00F745AD">
            <w:pPr>
              <w:widowControl/>
              <w:autoSpaceDE/>
              <w:autoSpaceDN/>
              <w:adjustRightInd/>
              <w:jc w:val="center"/>
              <w:rPr>
                <w:rFonts w:ascii="Times New Roman" w:hAnsi="Times New Roman" w:cs="Times New Roman"/>
                <w:sz w:val="18"/>
                <w:szCs w:val="18"/>
              </w:rPr>
            </w:pPr>
            <w:r w:rsidRPr="00B73F85">
              <w:rPr>
                <w:rFonts w:ascii="Times New Roman" w:hAnsi="Times New Roman" w:cs="Times New Roman"/>
                <w:sz w:val="18"/>
                <w:szCs w:val="18"/>
              </w:rPr>
              <w:t>12.951.631,00</w:t>
            </w:r>
          </w:p>
        </w:tc>
      </w:tr>
      <w:tr w:rsidR="00F745AD" w:rsidRPr="00B73F85" w14:paraId="36637E5E" w14:textId="77777777" w:rsidTr="00B73F85">
        <w:trPr>
          <w:trHeight w:val="322"/>
          <w:jc w:val="center"/>
        </w:trPr>
        <w:tc>
          <w:tcPr>
            <w:tcW w:w="0" w:type="auto"/>
            <w:tcBorders>
              <w:top w:val="single" w:sz="4" w:space="0" w:color="auto"/>
            </w:tcBorders>
            <w:shd w:val="clear" w:color="000000" w:fill="FFFFFF"/>
            <w:vAlign w:val="center"/>
            <w:hideMark/>
          </w:tcPr>
          <w:p w14:paraId="4792D891"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TOTALES</w:t>
            </w:r>
          </w:p>
        </w:tc>
        <w:tc>
          <w:tcPr>
            <w:tcW w:w="0" w:type="auto"/>
            <w:tcBorders>
              <w:top w:val="single" w:sz="4" w:space="0" w:color="auto"/>
            </w:tcBorders>
            <w:shd w:val="clear" w:color="000000" w:fill="FFFFFF"/>
            <w:vAlign w:val="center"/>
            <w:hideMark/>
          </w:tcPr>
          <w:p w14:paraId="678B18F3"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15.601.511,38</w:t>
            </w:r>
          </w:p>
        </w:tc>
        <w:tc>
          <w:tcPr>
            <w:tcW w:w="0" w:type="auto"/>
            <w:tcBorders>
              <w:top w:val="single" w:sz="4" w:space="0" w:color="auto"/>
            </w:tcBorders>
            <w:shd w:val="clear" w:color="000000" w:fill="FFFFFF"/>
            <w:vAlign w:val="center"/>
            <w:hideMark/>
          </w:tcPr>
          <w:p w14:paraId="5E492028" w14:textId="77777777" w:rsidR="00F745AD" w:rsidRPr="00B73F85" w:rsidRDefault="00F745AD" w:rsidP="00F745AD">
            <w:pPr>
              <w:widowControl/>
              <w:autoSpaceDE/>
              <w:autoSpaceDN/>
              <w:adjustRightInd/>
              <w:jc w:val="center"/>
              <w:rPr>
                <w:rFonts w:ascii="Times New Roman" w:hAnsi="Times New Roman" w:cs="Times New Roman"/>
                <w:b/>
                <w:bCs/>
                <w:sz w:val="18"/>
                <w:szCs w:val="18"/>
              </w:rPr>
            </w:pPr>
            <w:r w:rsidRPr="00B73F85">
              <w:rPr>
                <w:rFonts w:ascii="Times New Roman" w:hAnsi="Times New Roman" w:cs="Times New Roman"/>
                <w:b/>
                <w:bCs/>
                <w:sz w:val="18"/>
                <w:szCs w:val="18"/>
              </w:rPr>
              <w:t>12.951.631,00</w:t>
            </w:r>
          </w:p>
        </w:tc>
      </w:tr>
    </w:tbl>
    <w:p w14:paraId="40BCDC3A" w14:textId="77777777" w:rsidR="00F745AD" w:rsidRPr="00C8275B" w:rsidRDefault="00F745AD" w:rsidP="005107B8">
      <w:pPr>
        <w:shd w:val="clear" w:color="auto" w:fill="FFFFFF"/>
        <w:ind w:left="720" w:right="22"/>
        <w:jc w:val="both"/>
        <w:rPr>
          <w:rFonts w:ascii="Times New Roman" w:hAnsi="Times New Roman" w:cs="Times New Roman"/>
          <w:sz w:val="22"/>
          <w:szCs w:val="22"/>
          <w:lang w:val="es-ES_tradnl" w:eastAsia="es-ES_tradnl"/>
        </w:rPr>
      </w:pPr>
    </w:p>
    <w:p w14:paraId="37DF2480" w14:textId="77777777" w:rsidR="0070062A" w:rsidRDefault="0070062A"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bookmarkStart w:id="8" w:name="_MON_1633347349"/>
      <w:bookmarkStart w:id="9" w:name="_MON_1647757941"/>
      <w:bookmarkEnd w:id="8"/>
      <w:bookmarkEnd w:id="9"/>
    </w:p>
    <w:p w14:paraId="67FB4A70" w14:textId="77777777" w:rsidR="009A6F4A" w:rsidRDefault="009A6F4A"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6DFEEDC5" w14:textId="08B02154" w:rsidR="006671F2" w:rsidRPr="00C8275B" w:rsidRDefault="00047975" w:rsidP="00DE49BA">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lastRenderedPageBreak/>
        <w:t>Al cierre del</w:t>
      </w:r>
      <w:r w:rsidR="00DE49BA" w:rsidRPr="00C8275B">
        <w:rPr>
          <w:rFonts w:ascii="Times New Roman" w:hAnsi="Times New Roman" w:cs="Times New Roman"/>
          <w:spacing w:val="-3"/>
          <w:sz w:val="22"/>
          <w:szCs w:val="22"/>
          <w:lang w:val="es-ES_tradnl" w:eastAsia="es-ES_tradnl"/>
        </w:rPr>
        <w:t xml:space="preserve"> ejercic</w:t>
      </w:r>
      <w:r w:rsidRPr="00C8275B">
        <w:rPr>
          <w:rFonts w:ascii="Times New Roman" w:hAnsi="Times New Roman" w:cs="Times New Roman"/>
          <w:spacing w:val="-3"/>
          <w:sz w:val="22"/>
          <w:szCs w:val="22"/>
          <w:lang w:val="es-ES_tradnl" w:eastAsia="es-ES_tradnl"/>
        </w:rPr>
        <w:t>io</w:t>
      </w:r>
      <w:r w:rsidR="00DE49BA" w:rsidRPr="00C8275B">
        <w:rPr>
          <w:rFonts w:ascii="Times New Roman" w:hAnsi="Times New Roman" w:cs="Times New Roman"/>
          <w:spacing w:val="-3"/>
          <w:sz w:val="22"/>
          <w:szCs w:val="22"/>
          <w:lang w:val="es-ES_tradnl" w:eastAsia="es-ES_tradnl"/>
        </w:rPr>
        <w:t xml:space="preserve"> </w:t>
      </w:r>
      <w:r w:rsidR="00274345" w:rsidRPr="00C8275B">
        <w:rPr>
          <w:rFonts w:ascii="Times New Roman" w:hAnsi="Times New Roman" w:cs="Times New Roman"/>
          <w:spacing w:val="-3"/>
          <w:sz w:val="22"/>
          <w:szCs w:val="22"/>
          <w:lang w:val="es-ES_tradnl" w:eastAsia="es-ES_tradnl"/>
        </w:rPr>
        <w:t xml:space="preserve">2022 </w:t>
      </w:r>
      <w:r w:rsidR="00DE49BA" w:rsidRPr="00C8275B">
        <w:rPr>
          <w:rFonts w:ascii="Times New Roman" w:hAnsi="Times New Roman" w:cs="Times New Roman"/>
          <w:spacing w:val="-3"/>
          <w:sz w:val="22"/>
          <w:szCs w:val="22"/>
          <w:lang w:val="es-ES_tradnl" w:eastAsia="es-ES_tradnl"/>
        </w:rPr>
        <w:t>y anterior, en el balance de la Sociedad</w:t>
      </w:r>
      <w:r w:rsidR="00C43310" w:rsidRPr="00C8275B">
        <w:rPr>
          <w:rFonts w:ascii="Times New Roman" w:hAnsi="Times New Roman" w:cs="Times New Roman"/>
          <w:spacing w:val="-3"/>
          <w:sz w:val="22"/>
          <w:szCs w:val="22"/>
          <w:lang w:val="es-ES_tradnl" w:eastAsia="es-ES_tradnl"/>
        </w:rPr>
        <w:t>,</w:t>
      </w:r>
      <w:r w:rsidR="00DE49BA" w:rsidRPr="00C8275B">
        <w:rPr>
          <w:rFonts w:ascii="Times New Roman" w:hAnsi="Times New Roman" w:cs="Times New Roman"/>
          <w:spacing w:val="-3"/>
          <w:sz w:val="22"/>
          <w:szCs w:val="22"/>
          <w:lang w:val="es-ES_tradnl" w:eastAsia="es-ES_tradnl"/>
        </w:rPr>
        <w:t xml:space="preserve"> se recogen los importes que a continuación se detallan, destacando la existencia de deudas con </w:t>
      </w:r>
      <w:r w:rsidR="004573D6" w:rsidRPr="00C8275B">
        <w:rPr>
          <w:rFonts w:ascii="Times New Roman" w:hAnsi="Times New Roman" w:cs="Times New Roman"/>
          <w:spacing w:val="-3"/>
          <w:sz w:val="22"/>
          <w:szCs w:val="22"/>
          <w:lang w:val="es-ES_tradnl" w:eastAsia="es-ES_tradnl"/>
        </w:rPr>
        <w:t>el socio único</w:t>
      </w:r>
      <w:r w:rsidR="00DE49BA" w:rsidRPr="00C8275B">
        <w:rPr>
          <w:rFonts w:ascii="Times New Roman" w:hAnsi="Times New Roman" w:cs="Times New Roman"/>
          <w:spacing w:val="-3"/>
          <w:sz w:val="22"/>
          <w:szCs w:val="22"/>
          <w:lang w:val="es-ES_tradnl" w:eastAsia="es-ES_tradnl"/>
        </w:rPr>
        <w:t>, tanto al largo como a corto plazo. Los saldos</w:t>
      </w:r>
      <w:r w:rsidRPr="00C8275B">
        <w:rPr>
          <w:rFonts w:ascii="Times New Roman" w:hAnsi="Times New Roman" w:cs="Times New Roman"/>
          <w:spacing w:val="-3"/>
          <w:sz w:val="22"/>
          <w:szCs w:val="22"/>
          <w:lang w:val="es-ES_tradnl" w:eastAsia="es-ES_tradnl"/>
        </w:rPr>
        <w:t xml:space="preserve"> al final de los ejercicios </w:t>
      </w:r>
      <w:r w:rsidR="00274345" w:rsidRPr="00C8275B">
        <w:rPr>
          <w:rFonts w:ascii="Times New Roman" w:hAnsi="Times New Roman" w:cs="Times New Roman"/>
          <w:spacing w:val="-3"/>
          <w:sz w:val="22"/>
          <w:szCs w:val="22"/>
          <w:lang w:val="es-ES_tradnl" w:eastAsia="es-ES_tradnl"/>
        </w:rPr>
        <w:t>2022</w:t>
      </w:r>
      <w:r w:rsidR="00DE49BA" w:rsidRPr="00C8275B">
        <w:rPr>
          <w:rFonts w:ascii="Times New Roman" w:hAnsi="Times New Roman" w:cs="Times New Roman"/>
          <w:spacing w:val="-3"/>
          <w:sz w:val="22"/>
          <w:szCs w:val="22"/>
          <w:lang w:val="es-ES_tradnl" w:eastAsia="es-ES_tradnl"/>
        </w:rPr>
        <w:t xml:space="preserve"> y anterior son los siguientes:</w:t>
      </w:r>
    </w:p>
    <w:p w14:paraId="67F48C09" w14:textId="77777777" w:rsidR="00DE49BA" w:rsidRPr="00C8275B" w:rsidRDefault="00DE49BA" w:rsidP="00DE49BA">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r w:rsidRPr="00C8275B">
        <w:rPr>
          <w:rFonts w:ascii="Times New Roman" w:hAnsi="Times New Roman" w:cs="Times New Roman"/>
          <w:color w:val="0000FF"/>
          <w:spacing w:val="-3"/>
          <w:sz w:val="22"/>
          <w:szCs w:val="22"/>
          <w:lang w:val="es-ES_tradnl" w:eastAsia="es-ES_tradnl"/>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4008"/>
        <w:gridCol w:w="1126"/>
        <w:gridCol w:w="976"/>
        <w:gridCol w:w="1126"/>
        <w:gridCol w:w="976"/>
      </w:tblGrid>
      <w:tr w:rsidR="006671F2" w:rsidRPr="00C8275B" w14:paraId="242D6DB6" w14:textId="77777777" w:rsidTr="00B73F85">
        <w:trPr>
          <w:jc w:val="center"/>
        </w:trPr>
        <w:tc>
          <w:tcPr>
            <w:tcW w:w="0" w:type="auto"/>
            <w:tcBorders>
              <w:top w:val="single" w:sz="4" w:space="0" w:color="auto"/>
              <w:bottom w:val="nil"/>
            </w:tcBorders>
          </w:tcPr>
          <w:p w14:paraId="2BAD292F" w14:textId="77777777" w:rsidR="006671F2" w:rsidRPr="00C8275B" w:rsidRDefault="006671F2" w:rsidP="00682699">
            <w:pPr>
              <w:tabs>
                <w:tab w:val="left" w:pos="-720"/>
              </w:tabs>
              <w:suppressAutoHyphens/>
              <w:spacing w:beforeLines="20" w:before="48" w:after="20"/>
              <w:ind w:right="-28"/>
              <w:jc w:val="both"/>
              <w:rPr>
                <w:rFonts w:ascii="Times New Roman" w:hAnsi="Times New Roman" w:cs="Times New Roman"/>
                <w:color w:val="0000FF"/>
                <w:spacing w:val="-3"/>
                <w:sz w:val="18"/>
                <w:szCs w:val="22"/>
                <w:lang w:val="es-ES_tradnl" w:eastAsia="es-ES_tradnl"/>
              </w:rPr>
            </w:pPr>
          </w:p>
        </w:tc>
        <w:tc>
          <w:tcPr>
            <w:tcW w:w="0" w:type="auto"/>
            <w:gridSpan w:val="2"/>
            <w:tcBorders>
              <w:top w:val="single" w:sz="4" w:space="0" w:color="auto"/>
              <w:bottom w:val="nil"/>
            </w:tcBorders>
          </w:tcPr>
          <w:p w14:paraId="2D11C9D7" w14:textId="3151E5BC" w:rsidR="006671F2" w:rsidRPr="00C8275B" w:rsidRDefault="00B73F8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022</w:t>
            </w:r>
          </w:p>
        </w:tc>
        <w:tc>
          <w:tcPr>
            <w:tcW w:w="0" w:type="auto"/>
            <w:gridSpan w:val="2"/>
            <w:tcBorders>
              <w:top w:val="single" w:sz="4" w:space="0" w:color="auto"/>
              <w:bottom w:val="nil"/>
            </w:tcBorders>
          </w:tcPr>
          <w:p w14:paraId="1E7907D0" w14:textId="5A665E53" w:rsidR="006671F2" w:rsidRPr="00C8275B" w:rsidRDefault="00A779EE"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021</w:t>
            </w:r>
          </w:p>
        </w:tc>
      </w:tr>
      <w:tr w:rsidR="006671F2" w:rsidRPr="00C8275B" w14:paraId="3F2DEB32" w14:textId="77777777" w:rsidTr="00B73F85">
        <w:trPr>
          <w:jc w:val="center"/>
        </w:trPr>
        <w:tc>
          <w:tcPr>
            <w:tcW w:w="0" w:type="auto"/>
            <w:tcBorders>
              <w:top w:val="nil"/>
              <w:bottom w:val="single" w:sz="4" w:space="0" w:color="auto"/>
            </w:tcBorders>
          </w:tcPr>
          <w:p w14:paraId="7DD6ACF7" w14:textId="77777777" w:rsidR="006671F2" w:rsidRPr="00C8275B" w:rsidRDefault="006671F2" w:rsidP="00682699">
            <w:pPr>
              <w:tabs>
                <w:tab w:val="left" w:pos="-720"/>
              </w:tabs>
              <w:suppressAutoHyphens/>
              <w:spacing w:beforeLines="20" w:before="48" w:after="20"/>
              <w:ind w:right="-28"/>
              <w:jc w:val="both"/>
              <w:rPr>
                <w:rFonts w:ascii="Times New Roman" w:hAnsi="Times New Roman" w:cs="Times New Roman"/>
                <w:spacing w:val="-3"/>
                <w:sz w:val="18"/>
                <w:szCs w:val="22"/>
                <w:lang w:val="es-ES_tradnl" w:eastAsia="es-ES_tradnl"/>
              </w:rPr>
            </w:pPr>
          </w:p>
        </w:tc>
        <w:tc>
          <w:tcPr>
            <w:tcW w:w="0" w:type="auto"/>
            <w:tcBorders>
              <w:top w:val="nil"/>
              <w:bottom w:val="single" w:sz="4" w:space="0" w:color="auto"/>
            </w:tcBorders>
          </w:tcPr>
          <w:p w14:paraId="2FB6755F"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ACTIVOS</w:t>
            </w:r>
          </w:p>
        </w:tc>
        <w:tc>
          <w:tcPr>
            <w:tcW w:w="0" w:type="auto"/>
            <w:tcBorders>
              <w:top w:val="nil"/>
              <w:bottom w:val="single" w:sz="4" w:space="0" w:color="auto"/>
            </w:tcBorders>
          </w:tcPr>
          <w:p w14:paraId="05C177E2"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PASIVOS</w:t>
            </w:r>
          </w:p>
        </w:tc>
        <w:tc>
          <w:tcPr>
            <w:tcW w:w="0" w:type="auto"/>
            <w:tcBorders>
              <w:top w:val="nil"/>
              <w:bottom w:val="single" w:sz="4" w:space="0" w:color="auto"/>
            </w:tcBorders>
          </w:tcPr>
          <w:p w14:paraId="6A20DFAF"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ACTIVOS</w:t>
            </w:r>
          </w:p>
        </w:tc>
        <w:tc>
          <w:tcPr>
            <w:tcW w:w="0" w:type="auto"/>
            <w:tcBorders>
              <w:top w:val="nil"/>
              <w:bottom w:val="single" w:sz="4" w:space="0" w:color="auto"/>
            </w:tcBorders>
          </w:tcPr>
          <w:p w14:paraId="0A321A77" w14:textId="77777777" w:rsidR="006671F2" w:rsidRPr="00C8275B" w:rsidRDefault="006671F2"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PASIVOS</w:t>
            </w:r>
          </w:p>
        </w:tc>
      </w:tr>
      <w:tr w:rsidR="00274345" w:rsidRPr="00C8275B" w14:paraId="294533F4" w14:textId="77777777" w:rsidTr="00B73F85">
        <w:trPr>
          <w:jc w:val="center"/>
        </w:trPr>
        <w:tc>
          <w:tcPr>
            <w:tcW w:w="0" w:type="auto"/>
            <w:tcBorders>
              <w:top w:val="single" w:sz="4" w:space="0" w:color="auto"/>
            </w:tcBorders>
          </w:tcPr>
          <w:p w14:paraId="5FA4BE32" w14:textId="77777777" w:rsidR="00274345" w:rsidRPr="00C8275B" w:rsidRDefault="00274345" w:rsidP="00682699">
            <w:pPr>
              <w:tabs>
                <w:tab w:val="left" w:pos="-720"/>
              </w:tabs>
              <w:suppressAutoHyphens/>
              <w:spacing w:beforeLines="20" w:before="48" w:after="20"/>
              <w:ind w:right="-28"/>
              <w:jc w:val="both"/>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Excmo. Ayuntamiento de Las Palmas de Gran Canaria</w:t>
            </w:r>
          </w:p>
        </w:tc>
        <w:tc>
          <w:tcPr>
            <w:tcW w:w="0" w:type="auto"/>
            <w:tcBorders>
              <w:top w:val="single" w:sz="4" w:space="0" w:color="auto"/>
            </w:tcBorders>
          </w:tcPr>
          <w:p w14:paraId="4E21669F" w14:textId="26F25580" w:rsidR="00274345" w:rsidRPr="00C8275B" w:rsidRDefault="00A34EF8"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2</w:t>
            </w:r>
            <w:r w:rsidR="00274345" w:rsidRPr="00C8275B">
              <w:rPr>
                <w:rFonts w:ascii="Times New Roman" w:hAnsi="Times New Roman" w:cs="Times New Roman"/>
                <w:spacing w:val="-3"/>
                <w:sz w:val="18"/>
                <w:szCs w:val="22"/>
                <w:lang w:val="es-ES_tradnl" w:eastAsia="es-ES_tradnl"/>
              </w:rPr>
              <w:t>.</w:t>
            </w:r>
            <w:r w:rsidRPr="00C8275B">
              <w:rPr>
                <w:rFonts w:ascii="Times New Roman" w:hAnsi="Times New Roman" w:cs="Times New Roman"/>
                <w:spacing w:val="-3"/>
                <w:sz w:val="18"/>
                <w:szCs w:val="22"/>
                <w:lang w:val="es-ES_tradnl" w:eastAsia="es-ES_tradnl"/>
              </w:rPr>
              <w:t>359</w:t>
            </w:r>
            <w:r w:rsidR="00274345" w:rsidRPr="00C8275B">
              <w:rPr>
                <w:rFonts w:ascii="Times New Roman" w:hAnsi="Times New Roman" w:cs="Times New Roman"/>
                <w:spacing w:val="-3"/>
                <w:sz w:val="18"/>
                <w:szCs w:val="22"/>
                <w:lang w:val="es-ES_tradnl" w:eastAsia="es-ES_tradnl"/>
              </w:rPr>
              <w:t>.</w:t>
            </w:r>
            <w:r w:rsidRPr="00C8275B">
              <w:rPr>
                <w:rFonts w:ascii="Times New Roman" w:hAnsi="Times New Roman" w:cs="Times New Roman"/>
                <w:spacing w:val="-3"/>
                <w:sz w:val="18"/>
                <w:szCs w:val="22"/>
                <w:lang w:val="es-ES_tradnl" w:eastAsia="es-ES_tradnl"/>
              </w:rPr>
              <w:t>057</w:t>
            </w:r>
            <w:r w:rsidR="00274345" w:rsidRPr="00C8275B">
              <w:rPr>
                <w:rFonts w:ascii="Times New Roman" w:hAnsi="Times New Roman" w:cs="Times New Roman"/>
                <w:spacing w:val="-3"/>
                <w:sz w:val="18"/>
                <w:szCs w:val="22"/>
                <w:lang w:val="es-ES_tradnl" w:eastAsia="es-ES_tradnl"/>
              </w:rPr>
              <w:t>,</w:t>
            </w:r>
            <w:r w:rsidR="000D561B">
              <w:rPr>
                <w:rFonts w:ascii="Times New Roman" w:hAnsi="Times New Roman" w:cs="Times New Roman"/>
                <w:spacing w:val="-3"/>
                <w:sz w:val="18"/>
                <w:szCs w:val="22"/>
                <w:lang w:val="es-ES_tradnl" w:eastAsia="es-ES_tradnl"/>
              </w:rPr>
              <w:t>54</w:t>
            </w:r>
          </w:p>
        </w:tc>
        <w:tc>
          <w:tcPr>
            <w:tcW w:w="0" w:type="auto"/>
            <w:tcBorders>
              <w:top w:val="single" w:sz="4" w:space="0" w:color="auto"/>
            </w:tcBorders>
          </w:tcPr>
          <w:p w14:paraId="726AAF29"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0,00</w:t>
            </w:r>
          </w:p>
        </w:tc>
        <w:tc>
          <w:tcPr>
            <w:tcW w:w="0" w:type="auto"/>
            <w:tcBorders>
              <w:top w:val="single" w:sz="4" w:space="0" w:color="auto"/>
            </w:tcBorders>
          </w:tcPr>
          <w:p w14:paraId="01CEAA17"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1.200.000,00</w:t>
            </w:r>
          </w:p>
        </w:tc>
        <w:tc>
          <w:tcPr>
            <w:tcW w:w="0" w:type="auto"/>
            <w:tcBorders>
              <w:top w:val="single" w:sz="4" w:space="0" w:color="auto"/>
            </w:tcBorders>
          </w:tcPr>
          <w:p w14:paraId="705FE0EF"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spacing w:val="-3"/>
                <w:sz w:val="18"/>
                <w:szCs w:val="22"/>
                <w:lang w:val="es-ES_tradnl" w:eastAsia="es-ES_tradnl"/>
              </w:rPr>
            </w:pPr>
            <w:r w:rsidRPr="00C8275B">
              <w:rPr>
                <w:rFonts w:ascii="Times New Roman" w:hAnsi="Times New Roman" w:cs="Times New Roman"/>
                <w:spacing w:val="-3"/>
                <w:sz w:val="18"/>
                <w:szCs w:val="22"/>
                <w:lang w:val="es-ES_tradnl" w:eastAsia="es-ES_tradnl"/>
              </w:rPr>
              <w:t>0,00</w:t>
            </w:r>
          </w:p>
        </w:tc>
      </w:tr>
      <w:tr w:rsidR="00274345" w:rsidRPr="00C8275B" w14:paraId="533F4736" w14:textId="77777777" w:rsidTr="00B73F85">
        <w:trPr>
          <w:jc w:val="center"/>
        </w:trPr>
        <w:tc>
          <w:tcPr>
            <w:tcW w:w="0" w:type="auto"/>
          </w:tcPr>
          <w:p w14:paraId="5EE6DD3F" w14:textId="77777777" w:rsidR="00274345" w:rsidRPr="00C8275B" w:rsidRDefault="00274345" w:rsidP="00B73F85">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TOTALES</w:t>
            </w:r>
          </w:p>
        </w:tc>
        <w:tc>
          <w:tcPr>
            <w:tcW w:w="0" w:type="auto"/>
          </w:tcPr>
          <w:p w14:paraId="59C2B046" w14:textId="0D6B1756" w:rsidR="00274345" w:rsidRPr="00C8275B" w:rsidRDefault="00A34EF8"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2</w:t>
            </w:r>
            <w:r w:rsidR="00274345" w:rsidRPr="00C8275B">
              <w:rPr>
                <w:rFonts w:ascii="Times New Roman" w:hAnsi="Times New Roman" w:cs="Times New Roman"/>
                <w:b/>
                <w:spacing w:val="-3"/>
                <w:sz w:val="18"/>
                <w:szCs w:val="22"/>
                <w:lang w:val="es-ES_tradnl" w:eastAsia="es-ES_tradnl"/>
              </w:rPr>
              <w:t>.</w:t>
            </w:r>
            <w:r w:rsidRPr="00C8275B">
              <w:rPr>
                <w:rFonts w:ascii="Times New Roman" w:hAnsi="Times New Roman" w:cs="Times New Roman"/>
                <w:b/>
                <w:spacing w:val="-3"/>
                <w:sz w:val="18"/>
                <w:szCs w:val="22"/>
                <w:lang w:val="es-ES_tradnl" w:eastAsia="es-ES_tradnl"/>
              </w:rPr>
              <w:t>359</w:t>
            </w:r>
            <w:r w:rsidR="00274345" w:rsidRPr="00C8275B">
              <w:rPr>
                <w:rFonts w:ascii="Times New Roman" w:hAnsi="Times New Roman" w:cs="Times New Roman"/>
                <w:b/>
                <w:spacing w:val="-3"/>
                <w:sz w:val="18"/>
                <w:szCs w:val="22"/>
                <w:lang w:val="es-ES_tradnl" w:eastAsia="es-ES_tradnl"/>
              </w:rPr>
              <w:t>.</w:t>
            </w:r>
            <w:r w:rsidRPr="00C8275B">
              <w:rPr>
                <w:rFonts w:ascii="Times New Roman" w:hAnsi="Times New Roman" w:cs="Times New Roman"/>
                <w:b/>
                <w:spacing w:val="-3"/>
                <w:sz w:val="18"/>
                <w:szCs w:val="22"/>
                <w:lang w:val="es-ES_tradnl" w:eastAsia="es-ES_tradnl"/>
              </w:rPr>
              <w:t>057</w:t>
            </w:r>
            <w:r w:rsidR="00274345" w:rsidRPr="00C8275B">
              <w:rPr>
                <w:rFonts w:ascii="Times New Roman" w:hAnsi="Times New Roman" w:cs="Times New Roman"/>
                <w:b/>
                <w:spacing w:val="-3"/>
                <w:sz w:val="18"/>
                <w:szCs w:val="22"/>
                <w:lang w:val="es-ES_tradnl" w:eastAsia="es-ES_tradnl"/>
              </w:rPr>
              <w:t>,</w:t>
            </w:r>
            <w:r w:rsidR="000D561B">
              <w:rPr>
                <w:rFonts w:ascii="Times New Roman" w:hAnsi="Times New Roman" w:cs="Times New Roman"/>
                <w:b/>
                <w:spacing w:val="-3"/>
                <w:sz w:val="18"/>
                <w:szCs w:val="22"/>
                <w:lang w:val="es-ES_tradnl" w:eastAsia="es-ES_tradnl"/>
              </w:rPr>
              <w:t>54</w:t>
            </w:r>
          </w:p>
        </w:tc>
        <w:tc>
          <w:tcPr>
            <w:tcW w:w="0" w:type="auto"/>
          </w:tcPr>
          <w:p w14:paraId="1CF146F9"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0,00</w:t>
            </w:r>
          </w:p>
        </w:tc>
        <w:tc>
          <w:tcPr>
            <w:tcW w:w="0" w:type="auto"/>
          </w:tcPr>
          <w:p w14:paraId="6F3C7441"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1.200.000,00</w:t>
            </w:r>
          </w:p>
        </w:tc>
        <w:tc>
          <w:tcPr>
            <w:tcW w:w="0" w:type="auto"/>
          </w:tcPr>
          <w:p w14:paraId="7D44CB7C" w14:textId="77777777" w:rsidR="00274345" w:rsidRPr="00C8275B" w:rsidRDefault="00274345" w:rsidP="00682699">
            <w:pPr>
              <w:tabs>
                <w:tab w:val="left" w:pos="-720"/>
              </w:tabs>
              <w:suppressAutoHyphens/>
              <w:spacing w:beforeLines="20" w:before="48" w:after="20"/>
              <w:ind w:right="-28"/>
              <w:jc w:val="center"/>
              <w:rPr>
                <w:rFonts w:ascii="Times New Roman" w:hAnsi="Times New Roman" w:cs="Times New Roman"/>
                <w:b/>
                <w:spacing w:val="-3"/>
                <w:sz w:val="18"/>
                <w:szCs w:val="22"/>
                <w:lang w:val="es-ES_tradnl" w:eastAsia="es-ES_tradnl"/>
              </w:rPr>
            </w:pPr>
            <w:r w:rsidRPr="00C8275B">
              <w:rPr>
                <w:rFonts w:ascii="Times New Roman" w:hAnsi="Times New Roman" w:cs="Times New Roman"/>
                <w:b/>
                <w:spacing w:val="-3"/>
                <w:sz w:val="18"/>
                <w:szCs w:val="22"/>
                <w:lang w:val="es-ES_tradnl" w:eastAsia="es-ES_tradnl"/>
              </w:rPr>
              <w:t>0,00</w:t>
            </w:r>
          </w:p>
        </w:tc>
      </w:tr>
    </w:tbl>
    <w:p w14:paraId="3D9BC380" w14:textId="77777777" w:rsidR="0028650E" w:rsidRPr="00C8275B" w:rsidRDefault="0028650E" w:rsidP="006C0067">
      <w:pPr>
        <w:tabs>
          <w:tab w:val="left" w:pos="-720"/>
        </w:tabs>
        <w:suppressAutoHyphens/>
        <w:ind w:left="709" w:right="-26"/>
        <w:jc w:val="both"/>
        <w:rPr>
          <w:rFonts w:ascii="Times New Roman" w:hAnsi="Times New Roman" w:cs="Times New Roman"/>
          <w:color w:val="0000FF"/>
          <w:spacing w:val="-3"/>
          <w:sz w:val="22"/>
          <w:szCs w:val="22"/>
          <w:lang w:val="es-ES_tradnl" w:eastAsia="es-ES_tradnl"/>
        </w:rPr>
      </w:pPr>
    </w:p>
    <w:p w14:paraId="1A085D54" w14:textId="77777777" w:rsidR="0070062A" w:rsidRDefault="0070062A" w:rsidP="002C5B40">
      <w:pPr>
        <w:tabs>
          <w:tab w:val="left" w:pos="-720"/>
        </w:tabs>
        <w:suppressAutoHyphens/>
        <w:ind w:left="709" w:right="-26"/>
        <w:jc w:val="both"/>
        <w:rPr>
          <w:rFonts w:ascii="Times New Roman" w:hAnsi="Times New Roman" w:cs="Times New Roman"/>
          <w:spacing w:val="-3"/>
          <w:sz w:val="22"/>
          <w:szCs w:val="22"/>
          <w:lang w:val="es-ES_tradnl" w:eastAsia="es-ES_tradnl"/>
        </w:rPr>
      </w:pPr>
    </w:p>
    <w:p w14:paraId="1163C776" w14:textId="49068425" w:rsidR="006C0067" w:rsidRPr="00C8275B" w:rsidRDefault="006C0067" w:rsidP="002C5B40">
      <w:pPr>
        <w:tabs>
          <w:tab w:val="left" w:pos="-720"/>
        </w:tabs>
        <w:suppressAutoHyphens/>
        <w:ind w:left="709" w:right="-26"/>
        <w:jc w:val="both"/>
        <w:rPr>
          <w:rFonts w:ascii="Times New Roman" w:hAnsi="Times New Roman" w:cs="Times New Roman"/>
          <w:spacing w:val="-2"/>
          <w:sz w:val="22"/>
          <w:szCs w:val="22"/>
          <w:lang w:val="es-ES_tradnl" w:eastAsia="es-ES_tradnl"/>
        </w:rPr>
      </w:pPr>
      <w:r w:rsidRPr="00C8275B">
        <w:rPr>
          <w:rFonts w:ascii="Times New Roman" w:hAnsi="Times New Roman" w:cs="Times New Roman"/>
          <w:spacing w:val="-3"/>
          <w:sz w:val="22"/>
          <w:szCs w:val="22"/>
          <w:lang w:val="es-ES_tradnl" w:eastAsia="es-ES_tradnl"/>
        </w:rPr>
        <w:t>Los miembros del Consejo de Administración no han recibido importe alguno en concepto de remuneraciones por sueldos y salarios o por dietas de asistencia al Consejo.</w:t>
      </w:r>
    </w:p>
    <w:p w14:paraId="3BE7C4F2" w14:textId="77777777" w:rsidR="00BA7556" w:rsidRPr="00C8275B" w:rsidRDefault="00BA7556" w:rsidP="006C0067">
      <w:pPr>
        <w:shd w:val="clear" w:color="auto" w:fill="FFFFFF"/>
        <w:ind w:left="1242" w:right="29" w:firstLine="720"/>
        <w:jc w:val="both"/>
        <w:rPr>
          <w:rFonts w:ascii="Times New Roman" w:hAnsi="Times New Roman" w:cs="Times New Roman"/>
          <w:spacing w:val="-2"/>
          <w:sz w:val="22"/>
          <w:szCs w:val="22"/>
          <w:lang w:val="es-ES_tradnl" w:eastAsia="es-ES_tradnl"/>
        </w:rPr>
      </w:pPr>
    </w:p>
    <w:p w14:paraId="457B51E7" w14:textId="0137C8EA" w:rsidR="006C0067" w:rsidRPr="00C8275B" w:rsidRDefault="006C0067" w:rsidP="006C0067">
      <w:pPr>
        <w:tabs>
          <w:tab w:val="left" w:pos="-720"/>
        </w:tabs>
        <w:suppressAutoHyphens/>
        <w:ind w:left="709" w:right="-26"/>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El importe correspondiente a Sueldos y Salarios perc</w:t>
      </w:r>
      <w:r w:rsidR="00CF462A" w:rsidRPr="00C8275B">
        <w:rPr>
          <w:rFonts w:ascii="Times New Roman" w:hAnsi="Times New Roman" w:cs="Times New Roman"/>
          <w:spacing w:val="-3"/>
          <w:sz w:val="22"/>
          <w:szCs w:val="22"/>
          <w:lang w:val="es-ES_tradnl" w:eastAsia="es-ES_tradnl"/>
        </w:rPr>
        <w:t xml:space="preserve">ibidos durante el ejercicio </w:t>
      </w:r>
      <w:r w:rsidR="00274345" w:rsidRPr="00C8275B">
        <w:rPr>
          <w:rFonts w:ascii="Times New Roman" w:hAnsi="Times New Roman" w:cs="Times New Roman"/>
          <w:spacing w:val="-3"/>
          <w:sz w:val="22"/>
          <w:szCs w:val="22"/>
          <w:lang w:val="es-ES_tradnl" w:eastAsia="es-ES_tradnl"/>
        </w:rPr>
        <w:t>2022</w:t>
      </w:r>
      <w:r w:rsidRPr="00C8275B">
        <w:rPr>
          <w:rFonts w:ascii="Times New Roman" w:hAnsi="Times New Roman" w:cs="Times New Roman"/>
          <w:spacing w:val="-3"/>
          <w:sz w:val="22"/>
          <w:szCs w:val="22"/>
          <w:lang w:val="es-ES_tradnl" w:eastAsia="es-ES_tradnl"/>
        </w:rPr>
        <w:t xml:space="preserve"> por el personal de alta dirección asciende a </w:t>
      </w:r>
      <w:r w:rsidR="0042091B">
        <w:rPr>
          <w:rFonts w:ascii="Times New Roman" w:hAnsi="Times New Roman" w:cs="Times New Roman"/>
          <w:spacing w:val="-3"/>
          <w:sz w:val="22"/>
          <w:szCs w:val="22"/>
          <w:lang w:val="es-ES_tradnl" w:eastAsia="es-ES_tradnl"/>
        </w:rPr>
        <w:t>71</w:t>
      </w:r>
      <w:r w:rsidR="006E133C" w:rsidRPr="00C8275B">
        <w:rPr>
          <w:rFonts w:ascii="Times New Roman" w:hAnsi="Times New Roman" w:cs="Times New Roman"/>
          <w:spacing w:val="-3"/>
          <w:sz w:val="22"/>
          <w:szCs w:val="22"/>
          <w:lang w:val="es-ES_tradnl" w:eastAsia="es-ES_tradnl"/>
        </w:rPr>
        <w:t>.</w:t>
      </w:r>
      <w:r w:rsidR="0042091B">
        <w:rPr>
          <w:rFonts w:ascii="Times New Roman" w:hAnsi="Times New Roman" w:cs="Times New Roman"/>
          <w:spacing w:val="-3"/>
          <w:sz w:val="22"/>
          <w:szCs w:val="22"/>
          <w:lang w:val="es-ES_tradnl" w:eastAsia="es-ES_tradnl"/>
        </w:rPr>
        <w:t>475</w:t>
      </w:r>
      <w:r w:rsidR="00AB7024" w:rsidRPr="00C8275B">
        <w:rPr>
          <w:rFonts w:ascii="Times New Roman" w:hAnsi="Times New Roman" w:cs="Times New Roman"/>
          <w:spacing w:val="-3"/>
          <w:sz w:val="22"/>
          <w:szCs w:val="22"/>
          <w:lang w:val="es-ES_tradnl" w:eastAsia="es-ES_tradnl"/>
        </w:rPr>
        <w:t>.</w:t>
      </w:r>
      <w:r w:rsidR="0042091B">
        <w:rPr>
          <w:rFonts w:ascii="Times New Roman" w:hAnsi="Times New Roman" w:cs="Times New Roman"/>
          <w:spacing w:val="-3"/>
          <w:sz w:val="22"/>
          <w:szCs w:val="22"/>
          <w:lang w:val="es-ES_tradnl" w:eastAsia="es-ES_tradnl"/>
        </w:rPr>
        <w:t>94</w:t>
      </w:r>
      <w:r w:rsidR="00AB7024"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euros y </w:t>
      </w:r>
      <w:r w:rsidR="00BC7150" w:rsidRPr="00C8275B">
        <w:rPr>
          <w:rFonts w:ascii="Times New Roman" w:hAnsi="Times New Roman" w:cs="Times New Roman"/>
          <w:spacing w:val="-3"/>
          <w:sz w:val="22"/>
          <w:szCs w:val="22"/>
          <w:lang w:val="es-ES_tradnl" w:eastAsia="es-ES_tradnl"/>
        </w:rPr>
        <w:t>siendo</w:t>
      </w:r>
      <w:r w:rsidR="00667EED" w:rsidRPr="00C8275B">
        <w:rPr>
          <w:rFonts w:ascii="Times New Roman" w:hAnsi="Times New Roman" w:cs="Times New Roman"/>
          <w:spacing w:val="-3"/>
          <w:sz w:val="22"/>
          <w:szCs w:val="22"/>
          <w:lang w:val="es-ES_tradnl" w:eastAsia="es-ES_tradnl"/>
        </w:rPr>
        <w:t xml:space="preserve"> de</w:t>
      </w:r>
      <w:r w:rsidRPr="00C8275B">
        <w:rPr>
          <w:rFonts w:ascii="Times New Roman" w:hAnsi="Times New Roman" w:cs="Times New Roman"/>
          <w:spacing w:val="-3"/>
          <w:sz w:val="22"/>
          <w:szCs w:val="22"/>
          <w:lang w:val="es-ES_tradnl" w:eastAsia="es-ES_tradnl"/>
        </w:rPr>
        <w:t xml:space="preserve"> </w:t>
      </w:r>
      <w:r w:rsidR="006230BA" w:rsidRPr="00C8275B">
        <w:rPr>
          <w:rFonts w:ascii="Times New Roman" w:hAnsi="Times New Roman" w:cs="Times New Roman"/>
          <w:spacing w:val="-3"/>
          <w:sz w:val="22"/>
          <w:szCs w:val="22"/>
          <w:lang w:val="es-ES_tradnl" w:eastAsia="es-ES_tradnl"/>
        </w:rPr>
        <w:t>1</w:t>
      </w:r>
      <w:r w:rsidR="006A5517" w:rsidRPr="00C8275B">
        <w:rPr>
          <w:rFonts w:ascii="Times New Roman" w:hAnsi="Times New Roman" w:cs="Times New Roman"/>
          <w:spacing w:val="-3"/>
          <w:sz w:val="22"/>
          <w:szCs w:val="22"/>
          <w:lang w:val="es-ES_tradnl" w:eastAsia="es-ES_tradnl"/>
        </w:rPr>
        <w:t>25</w:t>
      </w:r>
      <w:r w:rsidR="006230BA" w:rsidRPr="00C8275B">
        <w:rPr>
          <w:rFonts w:ascii="Times New Roman" w:hAnsi="Times New Roman" w:cs="Times New Roman"/>
          <w:spacing w:val="-3"/>
          <w:sz w:val="22"/>
          <w:szCs w:val="22"/>
          <w:lang w:val="es-ES_tradnl" w:eastAsia="es-ES_tradnl"/>
        </w:rPr>
        <w:t>.</w:t>
      </w:r>
      <w:r w:rsidR="006A5517" w:rsidRPr="00C8275B">
        <w:rPr>
          <w:rFonts w:ascii="Times New Roman" w:hAnsi="Times New Roman" w:cs="Times New Roman"/>
          <w:spacing w:val="-3"/>
          <w:sz w:val="22"/>
          <w:szCs w:val="22"/>
          <w:lang w:val="es-ES_tradnl" w:eastAsia="es-ES_tradnl"/>
        </w:rPr>
        <w:t>501</w:t>
      </w:r>
      <w:r w:rsidR="006230BA" w:rsidRPr="00C8275B">
        <w:rPr>
          <w:rFonts w:ascii="Times New Roman" w:hAnsi="Times New Roman" w:cs="Times New Roman"/>
          <w:spacing w:val="-3"/>
          <w:sz w:val="22"/>
          <w:szCs w:val="22"/>
          <w:lang w:val="es-ES_tradnl" w:eastAsia="es-ES_tradnl"/>
        </w:rPr>
        <w:t>.</w:t>
      </w:r>
      <w:r w:rsidR="006A5517" w:rsidRPr="00C8275B">
        <w:rPr>
          <w:rFonts w:ascii="Times New Roman" w:hAnsi="Times New Roman" w:cs="Times New Roman"/>
          <w:spacing w:val="-3"/>
          <w:sz w:val="22"/>
          <w:szCs w:val="22"/>
          <w:lang w:val="es-ES_tradnl" w:eastAsia="es-ES_tradnl"/>
        </w:rPr>
        <w:t>96</w:t>
      </w:r>
      <w:r w:rsidR="006230BA" w:rsidRPr="00C8275B">
        <w:rPr>
          <w:rFonts w:ascii="Times New Roman" w:hAnsi="Times New Roman" w:cs="Times New Roman"/>
          <w:spacing w:val="-3"/>
          <w:sz w:val="22"/>
          <w:szCs w:val="22"/>
          <w:lang w:val="es-ES_tradnl" w:eastAsia="es-ES_tradnl"/>
        </w:rPr>
        <w:t xml:space="preserve"> </w:t>
      </w:r>
      <w:r w:rsidRPr="00C8275B">
        <w:rPr>
          <w:rFonts w:ascii="Times New Roman" w:hAnsi="Times New Roman" w:cs="Times New Roman"/>
          <w:spacing w:val="-3"/>
          <w:sz w:val="22"/>
          <w:szCs w:val="22"/>
          <w:lang w:val="es-ES_tradnl" w:eastAsia="es-ES_tradnl"/>
        </w:rPr>
        <w:t xml:space="preserve">euros </w:t>
      </w:r>
      <w:r w:rsidR="00667EED" w:rsidRPr="00C8275B">
        <w:rPr>
          <w:rFonts w:ascii="Times New Roman" w:hAnsi="Times New Roman" w:cs="Times New Roman"/>
          <w:spacing w:val="-3"/>
          <w:sz w:val="22"/>
          <w:szCs w:val="22"/>
          <w:lang w:val="es-ES_tradnl" w:eastAsia="es-ES_tradnl"/>
        </w:rPr>
        <w:t>en</w:t>
      </w:r>
      <w:r w:rsidRPr="00C8275B">
        <w:rPr>
          <w:rFonts w:ascii="Times New Roman" w:hAnsi="Times New Roman" w:cs="Times New Roman"/>
          <w:spacing w:val="-3"/>
          <w:sz w:val="22"/>
          <w:szCs w:val="22"/>
          <w:lang w:val="es-ES_tradnl" w:eastAsia="es-ES_tradnl"/>
        </w:rPr>
        <w:t xml:space="preserve"> el ejercicio anterior.</w:t>
      </w:r>
    </w:p>
    <w:p w14:paraId="2701EA87" w14:textId="77777777" w:rsidR="006C0067" w:rsidRPr="00C8275B" w:rsidRDefault="006C0067" w:rsidP="006C0067">
      <w:pPr>
        <w:shd w:val="clear" w:color="auto" w:fill="FFFFFF"/>
        <w:ind w:left="1242" w:right="29" w:firstLine="720"/>
        <w:jc w:val="both"/>
        <w:rPr>
          <w:rFonts w:ascii="Times New Roman" w:hAnsi="Times New Roman" w:cs="Times New Roman"/>
          <w:spacing w:val="-3"/>
          <w:sz w:val="22"/>
          <w:szCs w:val="22"/>
          <w:lang w:val="es-ES_tradnl" w:eastAsia="es-ES_tradnl"/>
        </w:rPr>
      </w:pPr>
    </w:p>
    <w:p w14:paraId="0F8F0E32" w14:textId="77777777" w:rsidR="006C0067" w:rsidRPr="00C8275B" w:rsidRDefault="006C0067" w:rsidP="00934221">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A los efectos previstos en el artículo 229 de la Ley de Sociedades de Capital, se hace constar expresamente que, a fecha 31 de diciembre de </w:t>
      </w:r>
      <w:r w:rsidR="00274345" w:rsidRPr="00C8275B">
        <w:rPr>
          <w:rFonts w:ascii="Times New Roman" w:hAnsi="Times New Roman" w:cs="Times New Roman"/>
          <w:color w:val="auto"/>
          <w:spacing w:val="-3"/>
          <w:sz w:val="22"/>
          <w:szCs w:val="22"/>
          <w:lang w:val="es-ES_tradnl" w:eastAsia="es-ES_tradnl"/>
        </w:rPr>
        <w:t>2022</w:t>
      </w:r>
      <w:r w:rsidRPr="00C8275B">
        <w:rPr>
          <w:rFonts w:ascii="Times New Roman" w:hAnsi="Times New Roman" w:cs="Times New Roman"/>
          <w:color w:val="auto"/>
          <w:spacing w:val="-3"/>
          <w:sz w:val="22"/>
          <w:szCs w:val="22"/>
          <w:lang w:val="es-ES_tradnl" w:eastAsia="es-ES_tradnl"/>
        </w:rPr>
        <w:t xml:space="preserve">, </w:t>
      </w:r>
      <w:r w:rsidR="00AE55F0" w:rsidRPr="00C8275B">
        <w:rPr>
          <w:rFonts w:ascii="Times New Roman" w:hAnsi="Times New Roman" w:cs="Times New Roman"/>
          <w:color w:val="auto"/>
          <w:spacing w:val="-3"/>
          <w:sz w:val="22"/>
          <w:szCs w:val="22"/>
          <w:lang w:val="es-ES_tradnl" w:eastAsia="es-ES_tradnl"/>
        </w:rPr>
        <w:t>los miembros del Consejo de A</w:t>
      </w:r>
      <w:r w:rsidRPr="00C8275B">
        <w:rPr>
          <w:rFonts w:ascii="Times New Roman" w:hAnsi="Times New Roman" w:cs="Times New Roman"/>
          <w:color w:val="auto"/>
          <w:spacing w:val="-3"/>
          <w:sz w:val="22"/>
          <w:szCs w:val="22"/>
          <w:lang w:val="es-ES_tradnl" w:eastAsia="es-ES_tradnl"/>
        </w:rPr>
        <w:t>dministra</w:t>
      </w:r>
      <w:r w:rsidR="00AE55F0" w:rsidRPr="00C8275B">
        <w:rPr>
          <w:rFonts w:ascii="Times New Roman" w:hAnsi="Times New Roman" w:cs="Times New Roman"/>
          <w:color w:val="auto"/>
          <w:spacing w:val="-3"/>
          <w:sz w:val="22"/>
          <w:szCs w:val="22"/>
          <w:lang w:val="es-ES_tradnl" w:eastAsia="es-ES_tradnl"/>
        </w:rPr>
        <w:t xml:space="preserve">ción </w:t>
      </w:r>
      <w:r w:rsidRPr="00C8275B">
        <w:rPr>
          <w:rFonts w:ascii="Times New Roman" w:hAnsi="Times New Roman" w:cs="Times New Roman"/>
          <w:color w:val="auto"/>
          <w:spacing w:val="-3"/>
          <w:sz w:val="22"/>
          <w:szCs w:val="22"/>
          <w:lang w:val="es-ES_tradnl" w:eastAsia="es-ES_tradnl"/>
        </w:rPr>
        <w:t>no se encuentran en situación de conflicto, directo o indirecto, que ellos o personas vinculadas a ellos pudieran tener con el interés de la sociedad.</w:t>
      </w:r>
    </w:p>
    <w:p w14:paraId="7E203CC6" w14:textId="5725C88E" w:rsidR="00510D63" w:rsidRDefault="00510D63" w:rsidP="006C0067">
      <w:pPr>
        <w:pStyle w:val="Default"/>
        <w:ind w:left="709" w:firstLine="731"/>
        <w:jc w:val="both"/>
        <w:rPr>
          <w:rFonts w:ascii="Times New Roman" w:hAnsi="Times New Roman" w:cs="Times New Roman"/>
          <w:color w:val="0000FF"/>
          <w:spacing w:val="-3"/>
          <w:sz w:val="22"/>
          <w:szCs w:val="22"/>
          <w:lang w:val="es-ES_tradnl" w:eastAsia="es-ES_tradnl"/>
        </w:rPr>
      </w:pPr>
    </w:p>
    <w:p w14:paraId="5F8BE05A" w14:textId="77777777" w:rsidR="00EE3E26" w:rsidRDefault="00EE3E26" w:rsidP="006C0067">
      <w:pPr>
        <w:pStyle w:val="Default"/>
        <w:ind w:left="709" w:firstLine="731"/>
        <w:jc w:val="both"/>
        <w:rPr>
          <w:rFonts w:ascii="Times New Roman" w:hAnsi="Times New Roman" w:cs="Times New Roman"/>
          <w:color w:val="0000FF"/>
          <w:spacing w:val="-3"/>
          <w:sz w:val="22"/>
          <w:szCs w:val="22"/>
          <w:lang w:val="es-ES_tradnl" w:eastAsia="es-ES_tradnl"/>
        </w:rPr>
      </w:pPr>
    </w:p>
    <w:p w14:paraId="6437BACF" w14:textId="77777777" w:rsidR="0070062A" w:rsidRPr="00C8275B" w:rsidRDefault="0070062A" w:rsidP="006C0067">
      <w:pPr>
        <w:pStyle w:val="Default"/>
        <w:ind w:left="709" w:firstLine="731"/>
        <w:jc w:val="both"/>
        <w:rPr>
          <w:rFonts w:ascii="Times New Roman" w:hAnsi="Times New Roman" w:cs="Times New Roman"/>
          <w:color w:val="0000FF"/>
          <w:spacing w:val="-3"/>
          <w:sz w:val="22"/>
          <w:szCs w:val="22"/>
          <w:lang w:val="es-ES_tradnl" w:eastAsia="es-ES_tradnl"/>
        </w:rPr>
      </w:pPr>
    </w:p>
    <w:p w14:paraId="62BC3445" w14:textId="4DF6A9C4" w:rsidR="006C0067" w:rsidRPr="00C8275B" w:rsidRDefault="0076239A" w:rsidP="006C0067">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sidRPr="00C8275B">
        <w:rPr>
          <w:rFonts w:ascii="Times New Roman" w:hAnsi="Times New Roman" w:cs="Times New Roman"/>
          <w:b/>
          <w:bCs/>
          <w:spacing w:val="-2"/>
          <w:sz w:val="22"/>
          <w:szCs w:val="22"/>
          <w:lang w:val="es-ES_tradnl" w:eastAsia="es-ES_tradnl"/>
        </w:rPr>
        <w:t>1</w:t>
      </w:r>
      <w:r w:rsidR="008513D2" w:rsidRPr="00C8275B">
        <w:rPr>
          <w:rFonts w:ascii="Times New Roman" w:hAnsi="Times New Roman" w:cs="Times New Roman"/>
          <w:b/>
          <w:bCs/>
          <w:spacing w:val="-2"/>
          <w:sz w:val="22"/>
          <w:szCs w:val="22"/>
          <w:lang w:val="es-ES_tradnl" w:eastAsia="es-ES_tradnl"/>
        </w:rPr>
        <w:t>4</w:t>
      </w:r>
      <w:r w:rsidR="006C0067" w:rsidRPr="00C8275B">
        <w:rPr>
          <w:rFonts w:ascii="Times New Roman" w:hAnsi="Times New Roman" w:cs="Times New Roman"/>
          <w:b/>
          <w:bCs/>
          <w:spacing w:val="-2"/>
          <w:sz w:val="22"/>
          <w:szCs w:val="22"/>
          <w:lang w:val="es-ES_tradnl" w:eastAsia="es-ES_tradnl"/>
        </w:rPr>
        <w:t xml:space="preserve">. </w:t>
      </w:r>
      <w:r w:rsidR="006C0067" w:rsidRPr="00C8275B">
        <w:rPr>
          <w:rFonts w:ascii="Times New Roman" w:hAnsi="Times New Roman" w:cs="Times New Roman"/>
          <w:b/>
          <w:bCs/>
          <w:spacing w:val="-2"/>
          <w:sz w:val="22"/>
          <w:szCs w:val="22"/>
          <w:u w:val="double"/>
          <w:lang w:val="es-ES_tradnl" w:eastAsia="es-ES_tradnl"/>
        </w:rPr>
        <w:t>OTRA INFORMACIÓN</w:t>
      </w:r>
    </w:p>
    <w:p w14:paraId="692E34F9" w14:textId="77777777" w:rsidR="002545FD" w:rsidRPr="00C8275B" w:rsidRDefault="002545FD" w:rsidP="006C0067">
      <w:pPr>
        <w:tabs>
          <w:tab w:val="left" w:pos="-720"/>
        </w:tabs>
        <w:suppressAutoHyphens/>
        <w:ind w:left="709" w:right="-26"/>
        <w:jc w:val="both"/>
        <w:rPr>
          <w:rFonts w:ascii="Times New Roman" w:hAnsi="Times New Roman" w:cs="Times New Roman"/>
          <w:b/>
          <w:bCs/>
          <w:color w:val="0000FF"/>
          <w:spacing w:val="-2"/>
          <w:sz w:val="22"/>
          <w:szCs w:val="22"/>
          <w:u w:val="double"/>
          <w:lang w:val="es-ES_tradnl" w:eastAsia="es-ES_tradnl"/>
        </w:rPr>
      </w:pPr>
    </w:p>
    <w:p w14:paraId="6F43483B" w14:textId="7F7659DC" w:rsidR="002545FD" w:rsidRPr="00C8275B" w:rsidRDefault="002545FD" w:rsidP="00D63C96">
      <w:pPr>
        <w:spacing w:line="276" w:lineRule="auto"/>
        <w:ind w:firstLine="709"/>
        <w:jc w:val="both"/>
        <w:rPr>
          <w:rFonts w:ascii="Times New Roman" w:hAnsi="Times New Roman" w:cs="Times New Roman"/>
          <w:b/>
          <w:bCs/>
          <w:spacing w:val="-2"/>
          <w:sz w:val="22"/>
          <w:szCs w:val="22"/>
          <w:u w:val="double"/>
          <w:lang w:val="es-ES_tradnl" w:eastAsia="es-ES_tradnl"/>
        </w:rPr>
      </w:pPr>
      <w:bookmarkStart w:id="10" w:name="OLE_LINK149"/>
      <w:bookmarkStart w:id="11" w:name="OLE_LINK150"/>
      <w:r w:rsidRPr="00C8275B">
        <w:rPr>
          <w:rFonts w:ascii="Times New Roman" w:hAnsi="Times New Roman" w:cs="Times New Roman"/>
          <w:b/>
          <w:spacing w:val="-4"/>
          <w:sz w:val="22"/>
          <w:szCs w:val="22"/>
          <w:u w:val="single"/>
          <w:lang w:val="es-ES_tradnl" w:eastAsia="es-ES_tradnl"/>
        </w:rPr>
        <w:t>Personal</w:t>
      </w:r>
      <w:bookmarkEnd w:id="10"/>
      <w:bookmarkEnd w:id="11"/>
    </w:p>
    <w:p w14:paraId="0336FAEB" w14:textId="36B31DAE" w:rsidR="00510D63" w:rsidRDefault="00510D63" w:rsidP="00510D63">
      <w:pPr>
        <w:shd w:val="clear" w:color="auto" w:fill="FFFFFF"/>
        <w:ind w:firstLine="709"/>
        <w:jc w:val="both"/>
        <w:rPr>
          <w:rFonts w:ascii="Times New Roman" w:hAnsi="Times New Roman" w:cs="Times New Roman"/>
          <w:spacing w:val="-4"/>
          <w:sz w:val="22"/>
          <w:szCs w:val="22"/>
          <w:lang w:val="es-ES_tradnl" w:eastAsia="es-ES_tradnl"/>
        </w:rPr>
      </w:pPr>
      <w:r w:rsidRPr="00C8275B">
        <w:rPr>
          <w:rFonts w:ascii="Times New Roman" w:hAnsi="Times New Roman" w:cs="Times New Roman"/>
          <w:spacing w:val="-4"/>
          <w:sz w:val="22"/>
          <w:szCs w:val="22"/>
          <w:lang w:val="es-ES_tradnl" w:eastAsia="es-ES_tradnl"/>
        </w:rPr>
        <w:t>El número medio de empleados distribuido por categorías profesionales es el siguiente:</w:t>
      </w:r>
    </w:p>
    <w:p w14:paraId="10867AD9" w14:textId="12239A1F" w:rsidR="00E005EF" w:rsidRDefault="00E005EF" w:rsidP="00510D63">
      <w:pPr>
        <w:shd w:val="clear" w:color="auto" w:fill="FFFFFF"/>
        <w:ind w:firstLine="709"/>
        <w:jc w:val="both"/>
        <w:rPr>
          <w:rFonts w:ascii="Times New Roman" w:hAnsi="Times New Roman" w:cs="Times New Roman"/>
          <w:spacing w:val="-4"/>
          <w:sz w:val="22"/>
          <w:szCs w:val="22"/>
          <w:lang w:val="es-ES_tradnl" w:eastAsia="es-ES_tradnl"/>
        </w:rPr>
      </w:pPr>
    </w:p>
    <w:tbl>
      <w:tblPr>
        <w:tblW w:w="5754" w:type="dxa"/>
        <w:jc w:val="center"/>
        <w:tblCellMar>
          <w:left w:w="70" w:type="dxa"/>
          <w:right w:w="70" w:type="dxa"/>
        </w:tblCellMar>
        <w:tblLook w:val="04A0" w:firstRow="1" w:lastRow="0" w:firstColumn="1" w:lastColumn="0" w:noHBand="0" w:noVBand="1"/>
      </w:tblPr>
      <w:tblGrid>
        <w:gridCol w:w="2971"/>
        <w:gridCol w:w="1350"/>
        <w:gridCol w:w="1433"/>
      </w:tblGrid>
      <w:tr w:rsidR="00364916" w:rsidRPr="00C8275B" w14:paraId="3A594220" w14:textId="77777777" w:rsidTr="00D63C96">
        <w:trPr>
          <w:trHeight w:val="257"/>
          <w:jc w:val="center"/>
        </w:trPr>
        <w:tc>
          <w:tcPr>
            <w:tcW w:w="2971" w:type="dxa"/>
            <w:tcBorders>
              <w:top w:val="single" w:sz="4" w:space="0" w:color="auto"/>
              <w:left w:val="nil"/>
              <w:bottom w:val="single" w:sz="4" w:space="0" w:color="auto"/>
              <w:right w:val="nil"/>
            </w:tcBorders>
            <w:shd w:val="clear" w:color="auto" w:fill="FFFFFF" w:themeFill="background1"/>
            <w:vAlign w:val="bottom"/>
            <w:hideMark/>
          </w:tcPr>
          <w:p w14:paraId="3D078BBF" w14:textId="77777777" w:rsidR="00364916" w:rsidRPr="00C8275B" w:rsidRDefault="00364916"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 xml:space="preserve">C a t e g o r í a </w:t>
            </w:r>
          </w:p>
        </w:tc>
        <w:tc>
          <w:tcPr>
            <w:tcW w:w="1350" w:type="dxa"/>
            <w:tcBorders>
              <w:top w:val="single" w:sz="4" w:space="0" w:color="auto"/>
              <w:left w:val="nil"/>
              <w:bottom w:val="single" w:sz="4" w:space="0" w:color="auto"/>
              <w:right w:val="nil"/>
            </w:tcBorders>
            <w:shd w:val="clear" w:color="auto" w:fill="FFFFFF" w:themeFill="background1"/>
            <w:vAlign w:val="bottom"/>
            <w:hideMark/>
          </w:tcPr>
          <w:p w14:paraId="6588EC16" w14:textId="77777777" w:rsidR="00364916" w:rsidRPr="00E005EF" w:rsidRDefault="00274345" w:rsidP="00364916">
            <w:pPr>
              <w:widowControl/>
              <w:autoSpaceDE/>
              <w:autoSpaceDN/>
              <w:adjustRightInd/>
              <w:jc w:val="center"/>
              <w:rPr>
                <w:rFonts w:ascii="Times New Roman" w:hAnsi="Times New Roman" w:cs="Times New Roman"/>
                <w:b/>
                <w:bCs/>
                <w:sz w:val="18"/>
                <w:szCs w:val="18"/>
              </w:rPr>
            </w:pPr>
            <w:r w:rsidRPr="00E005EF">
              <w:rPr>
                <w:rFonts w:ascii="Times New Roman" w:hAnsi="Times New Roman" w:cs="Times New Roman"/>
                <w:b/>
                <w:bCs/>
                <w:sz w:val="18"/>
                <w:szCs w:val="18"/>
              </w:rPr>
              <w:t>2022</w:t>
            </w:r>
          </w:p>
        </w:tc>
        <w:tc>
          <w:tcPr>
            <w:tcW w:w="1433" w:type="dxa"/>
            <w:tcBorders>
              <w:top w:val="single" w:sz="4" w:space="0" w:color="auto"/>
              <w:left w:val="nil"/>
              <w:bottom w:val="single" w:sz="4" w:space="0" w:color="auto"/>
              <w:right w:val="nil"/>
            </w:tcBorders>
            <w:shd w:val="clear" w:color="auto" w:fill="FFFFFF" w:themeFill="background1"/>
            <w:vAlign w:val="bottom"/>
            <w:hideMark/>
          </w:tcPr>
          <w:p w14:paraId="50D5EFB1" w14:textId="77777777" w:rsidR="00364916" w:rsidRPr="00C8275B" w:rsidRDefault="00274345" w:rsidP="00364916">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274345" w:rsidRPr="00C8275B" w14:paraId="2AE2CCE4" w14:textId="77777777" w:rsidTr="00D63C96">
        <w:trPr>
          <w:trHeight w:val="257"/>
          <w:jc w:val="center"/>
        </w:trPr>
        <w:tc>
          <w:tcPr>
            <w:tcW w:w="2971" w:type="dxa"/>
            <w:tcBorders>
              <w:top w:val="single" w:sz="4" w:space="0" w:color="auto"/>
              <w:left w:val="nil"/>
              <w:bottom w:val="nil"/>
              <w:right w:val="nil"/>
            </w:tcBorders>
            <w:shd w:val="clear" w:color="auto" w:fill="auto"/>
            <w:noWrap/>
            <w:vAlign w:val="bottom"/>
            <w:hideMark/>
          </w:tcPr>
          <w:p w14:paraId="0D4AA3E3" w14:textId="77777777" w:rsidR="00274345" w:rsidRPr="00C8275B" w:rsidRDefault="00274345" w:rsidP="00364916">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ADMINISTRATIVO</w:t>
            </w:r>
          </w:p>
        </w:tc>
        <w:tc>
          <w:tcPr>
            <w:tcW w:w="1350" w:type="dxa"/>
            <w:tcBorders>
              <w:top w:val="single" w:sz="4" w:space="0" w:color="auto"/>
              <w:left w:val="nil"/>
              <w:bottom w:val="nil"/>
              <w:right w:val="nil"/>
            </w:tcBorders>
            <w:shd w:val="clear" w:color="auto" w:fill="auto"/>
            <w:noWrap/>
            <w:vAlign w:val="bottom"/>
            <w:hideMark/>
          </w:tcPr>
          <w:p w14:paraId="037E0247" w14:textId="76DC6A2C"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r w:rsidR="006F4563" w:rsidRPr="006F4563">
              <w:rPr>
                <w:rFonts w:ascii="Times New Roman" w:hAnsi="Times New Roman" w:cs="Times New Roman"/>
                <w:sz w:val="18"/>
                <w:szCs w:val="18"/>
              </w:rPr>
              <w:t>6</w:t>
            </w:r>
            <w:r w:rsidRPr="006F4563">
              <w:rPr>
                <w:rFonts w:ascii="Times New Roman" w:hAnsi="Times New Roman" w:cs="Times New Roman"/>
                <w:sz w:val="18"/>
                <w:szCs w:val="18"/>
              </w:rPr>
              <w:t>,</w:t>
            </w:r>
            <w:r w:rsidR="006F4563" w:rsidRPr="006F4563">
              <w:rPr>
                <w:rFonts w:ascii="Times New Roman" w:hAnsi="Times New Roman" w:cs="Times New Roman"/>
                <w:sz w:val="18"/>
                <w:szCs w:val="18"/>
              </w:rPr>
              <w:t>575</w:t>
            </w:r>
          </w:p>
        </w:tc>
        <w:tc>
          <w:tcPr>
            <w:tcW w:w="1433" w:type="dxa"/>
            <w:tcBorders>
              <w:top w:val="single" w:sz="4" w:space="0" w:color="auto"/>
              <w:left w:val="nil"/>
              <w:bottom w:val="nil"/>
              <w:right w:val="nil"/>
            </w:tcBorders>
            <w:shd w:val="clear" w:color="auto" w:fill="auto"/>
            <w:noWrap/>
            <w:vAlign w:val="bottom"/>
            <w:hideMark/>
          </w:tcPr>
          <w:p w14:paraId="142A03D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14,8</w:t>
            </w:r>
          </w:p>
        </w:tc>
      </w:tr>
      <w:tr w:rsidR="00274345" w:rsidRPr="00C8275B" w14:paraId="0F61D5A2"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59DB029F" w14:textId="61198082"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ANIMD.SOC</w:t>
            </w:r>
            <w:r w:rsidR="006F4563" w:rsidRPr="006F4563">
              <w:rPr>
                <w:rFonts w:ascii="Times New Roman" w:hAnsi="Times New Roman" w:cs="Times New Roman"/>
                <w:sz w:val="18"/>
                <w:szCs w:val="18"/>
              </w:rPr>
              <w:t xml:space="preserve">IO </w:t>
            </w:r>
            <w:r w:rsidRPr="006F4563">
              <w:rPr>
                <w:rFonts w:ascii="Times New Roman" w:hAnsi="Times New Roman" w:cs="Times New Roman"/>
                <w:sz w:val="18"/>
                <w:szCs w:val="18"/>
              </w:rPr>
              <w:t>CUL</w:t>
            </w:r>
            <w:r w:rsidR="006F4563" w:rsidRPr="006F4563">
              <w:rPr>
                <w:rFonts w:ascii="Times New Roman" w:hAnsi="Times New Roman" w:cs="Times New Roman"/>
                <w:sz w:val="18"/>
                <w:szCs w:val="18"/>
              </w:rPr>
              <w:t>TURAL</w:t>
            </w:r>
          </w:p>
        </w:tc>
        <w:tc>
          <w:tcPr>
            <w:tcW w:w="1350" w:type="dxa"/>
            <w:tcBorders>
              <w:top w:val="nil"/>
              <w:left w:val="nil"/>
              <w:bottom w:val="nil"/>
              <w:right w:val="nil"/>
            </w:tcBorders>
            <w:shd w:val="clear" w:color="auto" w:fill="auto"/>
            <w:noWrap/>
            <w:vAlign w:val="bottom"/>
            <w:hideMark/>
          </w:tcPr>
          <w:p w14:paraId="420065A7" w14:textId="6DAB7B46"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w:t>
            </w:r>
          </w:p>
        </w:tc>
        <w:tc>
          <w:tcPr>
            <w:tcW w:w="1433" w:type="dxa"/>
            <w:tcBorders>
              <w:top w:val="nil"/>
              <w:left w:val="nil"/>
              <w:bottom w:val="nil"/>
              <w:right w:val="nil"/>
            </w:tcBorders>
            <w:shd w:val="clear" w:color="auto" w:fill="auto"/>
            <w:noWrap/>
            <w:vAlign w:val="bottom"/>
            <w:hideMark/>
          </w:tcPr>
          <w:p w14:paraId="244893FB"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1,99</w:t>
            </w:r>
          </w:p>
        </w:tc>
      </w:tr>
      <w:tr w:rsidR="00274345" w:rsidRPr="00C8275B" w14:paraId="7CF0C244"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374D6C56"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AUXILIAR</w:t>
            </w:r>
          </w:p>
        </w:tc>
        <w:tc>
          <w:tcPr>
            <w:tcW w:w="1350" w:type="dxa"/>
            <w:tcBorders>
              <w:top w:val="nil"/>
              <w:left w:val="nil"/>
              <w:bottom w:val="nil"/>
              <w:right w:val="nil"/>
            </w:tcBorders>
            <w:shd w:val="clear" w:color="auto" w:fill="auto"/>
            <w:noWrap/>
            <w:vAlign w:val="bottom"/>
            <w:hideMark/>
          </w:tcPr>
          <w:p w14:paraId="3041F9D5" w14:textId="1CE61B57"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r w:rsidR="00274345" w:rsidRPr="006F4563">
              <w:rPr>
                <w:rFonts w:ascii="Times New Roman" w:hAnsi="Times New Roman" w:cs="Times New Roman"/>
                <w:sz w:val="18"/>
                <w:szCs w:val="18"/>
              </w:rPr>
              <w:t>,</w:t>
            </w:r>
            <w:r w:rsidRPr="006F4563">
              <w:rPr>
                <w:rFonts w:ascii="Times New Roman" w:hAnsi="Times New Roman" w:cs="Times New Roman"/>
                <w:sz w:val="18"/>
                <w:szCs w:val="18"/>
              </w:rPr>
              <w:t>085</w:t>
            </w:r>
          </w:p>
        </w:tc>
        <w:tc>
          <w:tcPr>
            <w:tcW w:w="1433" w:type="dxa"/>
            <w:tcBorders>
              <w:top w:val="nil"/>
              <w:left w:val="nil"/>
              <w:bottom w:val="nil"/>
              <w:right w:val="nil"/>
            </w:tcBorders>
            <w:shd w:val="clear" w:color="auto" w:fill="auto"/>
            <w:noWrap/>
            <w:vAlign w:val="bottom"/>
            <w:hideMark/>
          </w:tcPr>
          <w:p w14:paraId="6E1A2B01"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1,16</w:t>
            </w:r>
          </w:p>
        </w:tc>
      </w:tr>
      <w:tr w:rsidR="00274345" w:rsidRPr="00C8275B" w14:paraId="60F0A715"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3B59A31D"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AUX. ADMIN.</w:t>
            </w:r>
          </w:p>
        </w:tc>
        <w:tc>
          <w:tcPr>
            <w:tcW w:w="1350" w:type="dxa"/>
            <w:tcBorders>
              <w:top w:val="nil"/>
              <w:left w:val="nil"/>
              <w:bottom w:val="nil"/>
              <w:right w:val="nil"/>
            </w:tcBorders>
            <w:shd w:val="clear" w:color="auto" w:fill="auto"/>
            <w:noWrap/>
            <w:vAlign w:val="bottom"/>
            <w:hideMark/>
          </w:tcPr>
          <w:p w14:paraId="78D3657A" w14:textId="3015423C"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p>
        </w:tc>
        <w:tc>
          <w:tcPr>
            <w:tcW w:w="1433" w:type="dxa"/>
            <w:tcBorders>
              <w:top w:val="nil"/>
              <w:left w:val="nil"/>
              <w:bottom w:val="nil"/>
              <w:right w:val="nil"/>
            </w:tcBorders>
            <w:shd w:val="clear" w:color="auto" w:fill="auto"/>
            <w:noWrap/>
            <w:vAlign w:val="bottom"/>
            <w:hideMark/>
          </w:tcPr>
          <w:p w14:paraId="60E8E045"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0,91</w:t>
            </w:r>
          </w:p>
        </w:tc>
      </w:tr>
      <w:tr w:rsidR="00274345" w:rsidRPr="00C8275B" w14:paraId="0A00F955"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0B46BFAD"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ENCARGADO</w:t>
            </w:r>
          </w:p>
        </w:tc>
        <w:tc>
          <w:tcPr>
            <w:tcW w:w="1350" w:type="dxa"/>
            <w:tcBorders>
              <w:top w:val="nil"/>
              <w:left w:val="nil"/>
              <w:bottom w:val="nil"/>
              <w:right w:val="nil"/>
            </w:tcBorders>
            <w:shd w:val="clear" w:color="auto" w:fill="auto"/>
            <w:noWrap/>
            <w:vAlign w:val="bottom"/>
            <w:hideMark/>
          </w:tcPr>
          <w:p w14:paraId="34340AAB" w14:textId="7FB27509"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w:t>
            </w:r>
          </w:p>
        </w:tc>
        <w:tc>
          <w:tcPr>
            <w:tcW w:w="1433" w:type="dxa"/>
            <w:tcBorders>
              <w:top w:val="nil"/>
              <w:left w:val="nil"/>
              <w:bottom w:val="nil"/>
              <w:right w:val="nil"/>
            </w:tcBorders>
            <w:shd w:val="clear" w:color="auto" w:fill="auto"/>
            <w:noWrap/>
            <w:vAlign w:val="bottom"/>
            <w:hideMark/>
          </w:tcPr>
          <w:p w14:paraId="4B8A0C26"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1,97</w:t>
            </w:r>
          </w:p>
        </w:tc>
      </w:tr>
      <w:tr w:rsidR="00274345" w:rsidRPr="00C8275B" w14:paraId="03AB5A7E"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6269D817"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MARKETING</w:t>
            </w:r>
          </w:p>
        </w:tc>
        <w:tc>
          <w:tcPr>
            <w:tcW w:w="1350" w:type="dxa"/>
            <w:tcBorders>
              <w:top w:val="nil"/>
              <w:left w:val="nil"/>
              <w:bottom w:val="nil"/>
              <w:right w:val="nil"/>
            </w:tcBorders>
            <w:shd w:val="clear" w:color="auto" w:fill="auto"/>
            <w:noWrap/>
            <w:vAlign w:val="bottom"/>
            <w:hideMark/>
          </w:tcPr>
          <w:p w14:paraId="1193DCA0"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33" w:type="dxa"/>
            <w:tcBorders>
              <w:top w:val="nil"/>
              <w:left w:val="nil"/>
              <w:bottom w:val="nil"/>
              <w:right w:val="nil"/>
            </w:tcBorders>
            <w:shd w:val="clear" w:color="auto" w:fill="auto"/>
            <w:noWrap/>
            <w:vAlign w:val="bottom"/>
            <w:hideMark/>
          </w:tcPr>
          <w:p w14:paraId="708399A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785CD3AE"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5FBB42C0"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OFICIAL</w:t>
            </w:r>
          </w:p>
        </w:tc>
        <w:tc>
          <w:tcPr>
            <w:tcW w:w="1350" w:type="dxa"/>
            <w:tcBorders>
              <w:top w:val="nil"/>
              <w:left w:val="nil"/>
              <w:bottom w:val="nil"/>
              <w:right w:val="nil"/>
            </w:tcBorders>
            <w:shd w:val="clear" w:color="auto" w:fill="auto"/>
            <w:noWrap/>
            <w:vAlign w:val="bottom"/>
            <w:hideMark/>
          </w:tcPr>
          <w:p w14:paraId="2DFCBBAF" w14:textId="06A02489"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9,</w:t>
            </w:r>
            <w:r w:rsidR="006F4563" w:rsidRPr="006F4563">
              <w:rPr>
                <w:rFonts w:ascii="Times New Roman" w:hAnsi="Times New Roman" w:cs="Times New Roman"/>
                <w:sz w:val="18"/>
                <w:szCs w:val="18"/>
              </w:rPr>
              <w:t>915</w:t>
            </w:r>
          </w:p>
        </w:tc>
        <w:tc>
          <w:tcPr>
            <w:tcW w:w="1433" w:type="dxa"/>
            <w:tcBorders>
              <w:top w:val="nil"/>
              <w:left w:val="nil"/>
              <w:bottom w:val="nil"/>
              <w:right w:val="nil"/>
            </w:tcBorders>
            <w:shd w:val="clear" w:color="auto" w:fill="auto"/>
            <w:noWrap/>
            <w:vAlign w:val="bottom"/>
            <w:hideMark/>
          </w:tcPr>
          <w:p w14:paraId="53B8ECAF"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9,82</w:t>
            </w:r>
          </w:p>
        </w:tc>
      </w:tr>
      <w:tr w:rsidR="00274345" w:rsidRPr="00C8275B" w14:paraId="35E3A829"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1C31BFD0"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SECRETARIA</w:t>
            </w:r>
          </w:p>
        </w:tc>
        <w:tc>
          <w:tcPr>
            <w:tcW w:w="1350" w:type="dxa"/>
            <w:tcBorders>
              <w:top w:val="nil"/>
              <w:left w:val="nil"/>
              <w:bottom w:val="nil"/>
              <w:right w:val="nil"/>
            </w:tcBorders>
            <w:shd w:val="clear" w:color="auto" w:fill="auto"/>
            <w:noWrap/>
            <w:vAlign w:val="bottom"/>
            <w:hideMark/>
          </w:tcPr>
          <w:p w14:paraId="3B983CF2"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33" w:type="dxa"/>
            <w:tcBorders>
              <w:top w:val="nil"/>
              <w:left w:val="nil"/>
              <w:bottom w:val="nil"/>
              <w:right w:val="nil"/>
            </w:tcBorders>
            <w:shd w:val="clear" w:color="auto" w:fill="auto"/>
            <w:noWrap/>
            <w:vAlign w:val="bottom"/>
            <w:hideMark/>
          </w:tcPr>
          <w:p w14:paraId="5A66D419"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490B70AA"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79B70801"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AUX. BIBL.CO</w:t>
            </w:r>
          </w:p>
        </w:tc>
        <w:tc>
          <w:tcPr>
            <w:tcW w:w="1350" w:type="dxa"/>
            <w:tcBorders>
              <w:top w:val="nil"/>
              <w:left w:val="nil"/>
              <w:bottom w:val="nil"/>
              <w:right w:val="nil"/>
            </w:tcBorders>
            <w:shd w:val="clear" w:color="auto" w:fill="auto"/>
            <w:noWrap/>
            <w:vAlign w:val="bottom"/>
            <w:hideMark/>
          </w:tcPr>
          <w:p w14:paraId="7DBB09C4" w14:textId="1AFE76D8"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0</w:t>
            </w:r>
          </w:p>
        </w:tc>
        <w:tc>
          <w:tcPr>
            <w:tcW w:w="1433" w:type="dxa"/>
            <w:tcBorders>
              <w:top w:val="nil"/>
              <w:left w:val="nil"/>
              <w:bottom w:val="nil"/>
              <w:right w:val="nil"/>
            </w:tcBorders>
            <w:shd w:val="clear" w:color="auto" w:fill="auto"/>
            <w:noWrap/>
            <w:vAlign w:val="bottom"/>
            <w:hideMark/>
          </w:tcPr>
          <w:p w14:paraId="0B72AAB4"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274345" w:rsidRPr="00C8275B" w14:paraId="161954CC"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56EE0937" w14:textId="022E769E"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AUX. BIBL</w:t>
            </w:r>
            <w:r w:rsidR="00E005EF" w:rsidRPr="006F4563">
              <w:rPr>
                <w:rFonts w:ascii="Times New Roman" w:hAnsi="Times New Roman" w:cs="Times New Roman"/>
                <w:sz w:val="18"/>
                <w:szCs w:val="18"/>
              </w:rPr>
              <w:t>IOTECA</w:t>
            </w:r>
          </w:p>
        </w:tc>
        <w:tc>
          <w:tcPr>
            <w:tcW w:w="1350" w:type="dxa"/>
            <w:tcBorders>
              <w:top w:val="nil"/>
              <w:left w:val="nil"/>
              <w:bottom w:val="nil"/>
              <w:right w:val="nil"/>
            </w:tcBorders>
            <w:shd w:val="clear" w:color="auto" w:fill="auto"/>
            <w:noWrap/>
            <w:vAlign w:val="bottom"/>
            <w:hideMark/>
          </w:tcPr>
          <w:p w14:paraId="04E46C8F" w14:textId="7D700206"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22,029</w:t>
            </w:r>
          </w:p>
        </w:tc>
        <w:tc>
          <w:tcPr>
            <w:tcW w:w="1433" w:type="dxa"/>
            <w:tcBorders>
              <w:top w:val="nil"/>
              <w:left w:val="nil"/>
              <w:bottom w:val="nil"/>
              <w:right w:val="nil"/>
            </w:tcBorders>
            <w:shd w:val="clear" w:color="auto" w:fill="auto"/>
            <w:noWrap/>
            <w:vAlign w:val="bottom"/>
            <w:hideMark/>
          </w:tcPr>
          <w:p w14:paraId="4A255ACD"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27,84</w:t>
            </w:r>
          </w:p>
        </w:tc>
      </w:tr>
      <w:tr w:rsidR="00274345" w:rsidRPr="00C8275B" w14:paraId="39AA5931"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64D6E648" w14:textId="1D48D488"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GES</w:t>
            </w:r>
            <w:r w:rsidR="00E005EF" w:rsidRPr="006F4563">
              <w:rPr>
                <w:rFonts w:ascii="Times New Roman" w:hAnsi="Times New Roman" w:cs="Times New Roman"/>
                <w:sz w:val="18"/>
                <w:szCs w:val="18"/>
              </w:rPr>
              <w:t>TION</w:t>
            </w:r>
            <w:r w:rsidRPr="006F4563">
              <w:rPr>
                <w:rFonts w:ascii="Times New Roman" w:hAnsi="Times New Roman" w:cs="Times New Roman"/>
                <w:sz w:val="18"/>
                <w:szCs w:val="18"/>
              </w:rPr>
              <w:t xml:space="preserve"> MEDIO</w:t>
            </w:r>
          </w:p>
        </w:tc>
        <w:tc>
          <w:tcPr>
            <w:tcW w:w="1350" w:type="dxa"/>
            <w:tcBorders>
              <w:top w:val="nil"/>
              <w:left w:val="nil"/>
              <w:bottom w:val="nil"/>
              <w:right w:val="nil"/>
            </w:tcBorders>
            <w:shd w:val="clear" w:color="auto" w:fill="auto"/>
            <w:noWrap/>
            <w:vAlign w:val="bottom"/>
            <w:hideMark/>
          </w:tcPr>
          <w:p w14:paraId="234D3FA2" w14:textId="21C89C52" w:rsidR="00274345" w:rsidRPr="006F4563" w:rsidRDefault="00E005EF"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5,666</w:t>
            </w:r>
          </w:p>
        </w:tc>
        <w:tc>
          <w:tcPr>
            <w:tcW w:w="1433" w:type="dxa"/>
            <w:tcBorders>
              <w:top w:val="nil"/>
              <w:left w:val="nil"/>
              <w:bottom w:val="nil"/>
              <w:right w:val="nil"/>
            </w:tcBorders>
            <w:shd w:val="clear" w:color="auto" w:fill="auto"/>
            <w:noWrap/>
            <w:vAlign w:val="bottom"/>
            <w:hideMark/>
          </w:tcPr>
          <w:p w14:paraId="658EFDC5"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5,81</w:t>
            </w:r>
          </w:p>
        </w:tc>
      </w:tr>
      <w:tr w:rsidR="00274345" w:rsidRPr="00C8275B" w14:paraId="0537B643" w14:textId="77777777" w:rsidTr="00D63C96">
        <w:trPr>
          <w:trHeight w:val="257"/>
          <w:jc w:val="center"/>
        </w:trPr>
        <w:tc>
          <w:tcPr>
            <w:tcW w:w="2971" w:type="dxa"/>
            <w:tcBorders>
              <w:top w:val="nil"/>
              <w:left w:val="nil"/>
              <w:bottom w:val="nil"/>
              <w:right w:val="nil"/>
            </w:tcBorders>
            <w:shd w:val="clear" w:color="auto" w:fill="auto"/>
            <w:noWrap/>
            <w:vAlign w:val="bottom"/>
            <w:hideMark/>
          </w:tcPr>
          <w:p w14:paraId="572C727C" w14:textId="73D46853"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GRADO SUPE</w:t>
            </w:r>
            <w:r w:rsidR="00E005EF" w:rsidRPr="006F4563">
              <w:rPr>
                <w:rFonts w:ascii="Times New Roman" w:hAnsi="Times New Roman" w:cs="Times New Roman"/>
                <w:sz w:val="18"/>
                <w:szCs w:val="18"/>
              </w:rPr>
              <w:t>RIOR</w:t>
            </w:r>
          </w:p>
        </w:tc>
        <w:tc>
          <w:tcPr>
            <w:tcW w:w="1350" w:type="dxa"/>
            <w:tcBorders>
              <w:top w:val="nil"/>
              <w:left w:val="nil"/>
              <w:bottom w:val="nil"/>
              <w:right w:val="nil"/>
            </w:tcBorders>
            <w:shd w:val="clear" w:color="auto" w:fill="auto"/>
            <w:noWrap/>
            <w:vAlign w:val="bottom"/>
            <w:hideMark/>
          </w:tcPr>
          <w:p w14:paraId="5F30D609" w14:textId="2A30B2F0"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3</w:t>
            </w:r>
          </w:p>
        </w:tc>
        <w:tc>
          <w:tcPr>
            <w:tcW w:w="1433" w:type="dxa"/>
            <w:tcBorders>
              <w:top w:val="nil"/>
              <w:left w:val="nil"/>
              <w:bottom w:val="nil"/>
              <w:right w:val="nil"/>
            </w:tcBorders>
            <w:shd w:val="clear" w:color="auto" w:fill="auto"/>
            <w:noWrap/>
            <w:vAlign w:val="bottom"/>
            <w:hideMark/>
          </w:tcPr>
          <w:p w14:paraId="6F90130C"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2,97</w:t>
            </w:r>
          </w:p>
        </w:tc>
      </w:tr>
      <w:tr w:rsidR="00274345" w:rsidRPr="00C8275B" w14:paraId="77F770BE" w14:textId="77777777" w:rsidTr="00D63C96">
        <w:trPr>
          <w:trHeight w:val="257"/>
          <w:jc w:val="center"/>
        </w:trPr>
        <w:tc>
          <w:tcPr>
            <w:tcW w:w="2971" w:type="dxa"/>
            <w:tcBorders>
              <w:top w:val="nil"/>
              <w:left w:val="nil"/>
              <w:right w:val="nil"/>
            </w:tcBorders>
            <w:shd w:val="clear" w:color="auto" w:fill="auto"/>
            <w:noWrap/>
            <w:vAlign w:val="bottom"/>
            <w:hideMark/>
          </w:tcPr>
          <w:p w14:paraId="4557E867" w14:textId="710E7634"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MARKET</w:t>
            </w:r>
            <w:r w:rsidR="006F4563" w:rsidRPr="006F4563">
              <w:rPr>
                <w:rFonts w:ascii="Times New Roman" w:hAnsi="Times New Roman" w:cs="Times New Roman"/>
                <w:sz w:val="18"/>
                <w:szCs w:val="18"/>
              </w:rPr>
              <w:t>ING</w:t>
            </w:r>
          </w:p>
        </w:tc>
        <w:tc>
          <w:tcPr>
            <w:tcW w:w="1350" w:type="dxa"/>
            <w:tcBorders>
              <w:top w:val="nil"/>
              <w:left w:val="nil"/>
              <w:right w:val="nil"/>
            </w:tcBorders>
            <w:shd w:val="clear" w:color="auto" w:fill="auto"/>
            <w:noWrap/>
            <w:vAlign w:val="bottom"/>
            <w:hideMark/>
          </w:tcPr>
          <w:p w14:paraId="587B9CDF" w14:textId="2B9EFCD2" w:rsidR="00274345" w:rsidRPr="006F4563" w:rsidRDefault="006F4563"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33" w:type="dxa"/>
            <w:tcBorders>
              <w:top w:val="nil"/>
              <w:left w:val="nil"/>
              <w:right w:val="nil"/>
            </w:tcBorders>
            <w:shd w:val="clear" w:color="auto" w:fill="auto"/>
            <w:noWrap/>
            <w:vAlign w:val="bottom"/>
            <w:hideMark/>
          </w:tcPr>
          <w:p w14:paraId="193DEE9B"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0,99</w:t>
            </w:r>
          </w:p>
        </w:tc>
      </w:tr>
      <w:tr w:rsidR="00274345" w:rsidRPr="00C8275B" w14:paraId="390A9986" w14:textId="77777777" w:rsidTr="00D63C96">
        <w:trPr>
          <w:trHeight w:val="257"/>
          <w:jc w:val="center"/>
        </w:trPr>
        <w:tc>
          <w:tcPr>
            <w:tcW w:w="2971" w:type="dxa"/>
            <w:tcBorders>
              <w:top w:val="nil"/>
              <w:left w:val="nil"/>
              <w:bottom w:val="single" w:sz="4" w:space="0" w:color="auto"/>
              <w:right w:val="nil"/>
            </w:tcBorders>
            <w:shd w:val="clear" w:color="auto" w:fill="auto"/>
            <w:noWrap/>
            <w:vAlign w:val="bottom"/>
            <w:hideMark/>
          </w:tcPr>
          <w:p w14:paraId="6AAD3151" w14:textId="77777777" w:rsidR="00274345" w:rsidRPr="006F4563" w:rsidRDefault="00274345" w:rsidP="00364916">
            <w:pPr>
              <w:widowControl/>
              <w:autoSpaceDE/>
              <w:autoSpaceDN/>
              <w:adjustRightInd/>
              <w:rPr>
                <w:rFonts w:ascii="Times New Roman" w:hAnsi="Times New Roman" w:cs="Times New Roman"/>
                <w:sz w:val="18"/>
                <w:szCs w:val="18"/>
              </w:rPr>
            </w:pPr>
            <w:r w:rsidRPr="006F4563">
              <w:rPr>
                <w:rFonts w:ascii="Times New Roman" w:hAnsi="Times New Roman" w:cs="Times New Roman"/>
                <w:sz w:val="18"/>
                <w:szCs w:val="18"/>
              </w:rPr>
              <w:t>TEC. PRODUC.</w:t>
            </w:r>
          </w:p>
        </w:tc>
        <w:tc>
          <w:tcPr>
            <w:tcW w:w="1350" w:type="dxa"/>
            <w:tcBorders>
              <w:top w:val="nil"/>
              <w:left w:val="nil"/>
              <w:bottom w:val="single" w:sz="4" w:space="0" w:color="auto"/>
              <w:right w:val="nil"/>
            </w:tcBorders>
            <w:shd w:val="clear" w:color="auto" w:fill="auto"/>
            <w:noWrap/>
            <w:vAlign w:val="bottom"/>
            <w:hideMark/>
          </w:tcPr>
          <w:p w14:paraId="1149D9DA" w14:textId="77777777" w:rsidR="00274345" w:rsidRPr="006F4563" w:rsidRDefault="00274345" w:rsidP="00364916">
            <w:pPr>
              <w:widowControl/>
              <w:autoSpaceDE/>
              <w:autoSpaceDN/>
              <w:adjustRightInd/>
              <w:jc w:val="center"/>
              <w:rPr>
                <w:rFonts w:ascii="Times New Roman" w:hAnsi="Times New Roman" w:cs="Times New Roman"/>
                <w:sz w:val="18"/>
                <w:szCs w:val="18"/>
              </w:rPr>
            </w:pPr>
            <w:r w:rsidRPr="006F4563">
              <w:rPr>
                <w:rFonts w:ascii="Times New Roman" w:hAnsi="Times New Roman" w:cs="Times New Roman"/>
                <w:sz w:val="18"/>
                <w:szCs w:val="18"/>
              </w:rPr>
              <w:t>1</w:t>
            </w:r>
          </w:p>
        </w:tc>
        <w:tc>
          <w:tcPr>
            <w:tcW w:w="1433" w:type="dxa"/>
            <w:tcBorders>
              <w:top w:val="nil"/>
              <w:left w:val="nil"/>
              <w:bottom w:val="single" w:sz="4" w:space="0" w:color="auto"/>
              <w:right w:val="nil"/>
            </w:tcBorders>
            <w:shd w:val="clear" w:color="auto" w:fill="auto"/>
            <w:noWrap/>
            <w:vAlign w:val="bottom"/>
            <w:hideMark/>
          </w:tcPr>
          <w:p w14:paraId="59374979" w14:textId="77777777" w:rsidR="00274345" w:rsidRPr="00C8275B" w:rsidRDefault="00274345" w:rsidP="00682699">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274345" w:rsidRPr="00C8275B" w14:paraId="168F2904" w14:textId="77777777" w:rsidTr="00D63C96">
        <w:trPr>
          <w:trHeight w:val="270"/>
          <w:jc w:val="center"/>
        </w:trPr>
        <w:tc>
          <w:tcPr>
            <w:tcW w:w="2971" w:type="dxa"/>
            <w:tcBorders>
              <w:top w:val="single" w:sz="4" w:space="0" w:color="auto"/>
              <w:left w:val="nil"/>
              <w:bottom w:val="single" w:sz="4" w:space="0" w:color="auto"/>
              <w:right w:val="nil"/>
            </w:tcBorders>
            <w:shd w:val="clear" w:color="auto" w:fill="auto"/>
            <w:vAlign w:val="bottom"/>
            <w:hideMark/>
          </w:tcPr>
          <w:p w14:paraId="66B0791A" w14:textId="2EB8105A" w:rsidR="00274345" w:rsidRPr="006F4563" w:rsidRDefault="00274345" w:rsidP="00B73F85">
            <w:pPr>
              <w:widowControl/>
              <w:autoSpaceDE/>
              <w:autoSpaceDN/>
              <w:adjustRightInd/>
              <w:jc w:val="center"/>
              <w:rPr>
                <w:rFonts w:ascii="Times New Roman" w:hAnsi="Times New Roman" w:cs="Times New Roman"/>
                <w:b/>
                <w:bCs/>
                <w:sz w:val="18"/>
                <w:szCs w:val="18"/>
              </w:rPr>
            </w:pPr>
            <w:r w:rsidRPr="006F4563">
              <w:rPr>
                <w:rFonts w:ascii="Times New Roman" w:hAnsi="Times New Roman" w:cs="Times New Roman"/>
                <w:b/>
                <w:bCs/>
                <w:sz w:val="18"/>
                <w:szCs w:val="18"/>
              </w:rPr>
              <w:t>TOTAL</w:t>
            </w:r>
          </w:p>
        </w:tc>
        <w:tc>
          <w:tcPr>
            <w:tcW w:w="1350" w:type="dxa"/>
            <w:tcBorders>
              <w:top w:val="single" w:sz="4" w:space="0" w:color="auto"/>
              <w:left w:val="nil"/>
              <w:bottom w:val="single" w:sz="4" w:space="0" w:color="auto"/>
              <w:right w:val="nil"/>
            </w:tcBorders>
            <w:shd w:val="clear" w:color="auto" w:fill="auto"/>
            <w:vAlign w:val="bottom"/>
            <w:hideMark/>
          </w:tcPr>
          <w:p w14:paraId="1B22C8F8" w14:textId="0CF8A077" w:rsidR="00274345" w:rsidRPr="006F4563" w:rsidRDefault="006F4563" w:rsidP="00364916">
            <w:pPr>
              <w:widowControl/>
              <w:autoSpaceDE/>
              <w:autoSpaceDN/>
              <w:adjustRightInd/>
              <w:jc w:val="center"/>
              <w:rPr>
                <w:rFonts w:ascii="Times New Roman" w:hAnsi="Times New Roman" w:cs="Times New Roman"/>
                <w:b/>
                <w:bCs/>
                <w:sz w:val="18"/>
                <w:szCs w:val="18"/>
              </w:rPr>
            </w:pPr>
            <w:r w:rsidRPr="006F4563">
              <w:rPr>
                <w:rFonts w:ascii="Times New Roman" w:hAnsi="Times New Roman" w:cs="Times New Roman"/>
                <w:b/>
                <w:bCs/>
                <w:sz w:val="18"/>
                <w:szCs w:val="18"/>
              </w:rPr>
              <w:t>65</w:t>
            </w:r>
            <w:r w:rsidR="00274345" w:rsidRPr="006F4563">
              <w:rPr>
                <w:rFonts w:ascii="Times New Roman" w:hAnsi="Times New Roman" w:cs="Times New Roman"/>
                <w:b/>
                <w:bCs/>
                <w:sz w:val="18"/>
                <w:szCs w:val="18"/>
              </w:rPr>
              <w:t>,</w:t>
            </w:r>
            <w:r w:rsidRPr="006F4563">
              <w:rPr>
                <w:rFonts w:ascii="Times New Roman" w:hAnsi="Times New Roman" w:cs="Times New Roman"/>
                <w:b/>
                <w:bCs/>
                <w:sz w:val="18"/>
                <w:szCs w:val="18"/>
              </w:rPr>
              <w:t>27</w:t>
            </w:r>
          </w:p>
        </w:tc>
        <w:tc>
          <w:tcPr>
            <w:tcW w:w="1433" w:type="dxa"/>
            <w:tcBorders>
              <w:top w:val="single" w:sz="4" w:space="0" w:color="auto"/>
              <w:left w:val="nil"/>
              <w:bottom w:val="single" w:sz="4" w:space="0" w:color="auto"/>
              <w:right w:val="nil"/>
            </w:tcBorders>
            <w:shd w:val="clear" w:color="auto" w:fill="auto"/>
            <w:vAlign w:val="bottom"/>
            <w:hideMark/>
          </w:tcPr>
          <w:p w14:paraId="20848280" w14:textId="77777777" w:rsidR="00274345" w:rsidRPr="00C8275B" w:rsidRDefault="00274345" w:rsidP="00682699">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73,26</w:t>
            </w:r>
          </w:p>
        </w:tc>
      </w:tr>
    </w:tbl>
    <w:p w14:paraId="2FFE9868" w14:textId="77777777" w:rsidR="0070062A" w:rsidRDefault="0070062A" w:rsidP="007A621B">
      <w:pPr>
        <w:widowControl/>
        <w:autoSpaceDE/>
        <w:autoSpaceDN/>
        <w:adjustRightInd/>
        <w:ind w:left="709"/>
        <w:jc w:val="both"/>
        <w:rPr>
          <w:rFonts w:ascii="Times New Roman" w:hAnsi="Times New Roman" w:cs="Times New Roman"/>
          <w:spacing w:val="-3"/>
          <w:sz w:val="22"/>
          <w:szCs w:val="22"/>
          <w:lang w:val="es-ES_tradnl" w:eastAsia="es-ES_tradnl"/>
        </w:rPr>
      </w:pPr>
    </w:p>
    <w:p w14:paraId="37F6C89E" w14:textId="77777777" w:rsidR="0070062A" w:rsidRDefault="0070062A" w:rsidP="007A621B">
      <w:pPr>
        <w:widowControl/>
        <w:autoSpaceDE/>
        <w:autoSpaceDN/>
        <w:adjustRightInd/>
        <w:ind w:left="709"/>
        <w:jc w:val="both"/>
        <w:rPr>
          <w:rFonts w:ascii="Times New Roman" w:hAnsi="Times New Roman" w:cs="Times New Roman"/>
          <w:spacing w:val="-3"/>
          <w:sz w:val="22"/>
          <w:szCs w:val="22"/>
          <w:lang w:val="es-ES_tradnl" w:eastAsia="es-ES_tradnl"/>
        </w:rPr>
      </w:pPr>
    </w:p>
    <w:p w14:paraId="3452DA41" w14:textId="5529999C" w:rsidR="0012567B" w:rsidRPr="00C8275B" w:rsidRDefault="0012567B" w:rsidP="007A621B">
      <w:pPr>
        <w:widowControl/>
        <w:autoSpaceDE/>
        <w:autoSpaceDN/>
        <w:adjustRightInd/>
        <w:ind w:left="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Al cierre del ejercicio</w:t>
      </w:r>
      <w:r w:rsidR="007A621B" w:rsidRPr="00C8275B">
        <w:rPr>
          <w:rFonts w:ascii="Times New Roman" w:hAnsi="Times New Roman" w:cs="Times New Roman"/>
          <w:spacing w:val="-3"/>
          <w:sz w:val="22"/>
          <w:szCs w:val="22"/>
          <w:lang w:val="es-ES_tradnl" w:eastAsia="es-ES_tradnl"/>
        </w:rPr>
        <w:t>,</w:t>
      </w:r>
      <w:r w:rsidRPr="00C8275B">
        <w:rPr>
          <w:rFonts w:ascii="Times New Roman" w:hAnsi="Times New Roman" w:cs="Times New Roman"/>
          <w:spacing w:val="-3"/>
          <w:sz w:val="22"/>
          <w:szCs w:val="22"/>
          <w:lang w:val="es-ES_tradnl" w:eastAsia="es-ES_tradnl"/>
        </w:rPr>
        <w:t xml:space="preserve"> el personal con discapacidad superior al 33%</w:t>
      </w:r>
      <w:r w:rsidR="004067B0" w:rsidRPr="00C8275B">
        <w:rPr>
          <w:rFonts w:ascii="Times New Roman" w:hAnsi="Times New Roman" w:cs="Times New Roman"/>
          <w:spacing w:val="-3"/>
          <w:sz w:val="22"/>
          <w:szCs w:val="22"/>
          <w:lang w:val="es-ES_tradnl" w:eastAsia="es-ES_tradnl"/>
        </w:rPr>
        <w:t xml:space="preserve"> </w:t>
      </w:r>
      <w:r w:rsidR="007A621B" w:rsidRPr="00C8275B">
        <w:rPr>
          <w:rFonts w:ascii="Times New Roman" w:hAnsi="Times New Roman" w:cs="Times New Roman"/>
          <w:spacing w:val="-3"/>
          <w:sz w:val="22"/>
          <w:szCs w:val="22"/>
          <w:lang w:val="es-ES_tradnl" w:eastAsia="es-ES_tradnl"/>
        </w:rPr>
        <w:t>es el siguiente</w:t>
      </w:r>
      <w:r w:rsidRPr="00C8275B">
        <w:rPr>
          <w:rFonts w:ascii="Times New Roman" w:hAnsi="Times New Roman" w:cs="Times New Roman"/>
          <w:spacing w:val="-3"/>
          <w:sz w:val="22"/>
          <w:szCs w:val="22"/>
          <w:lang w:val="es-ES_tradnl" w:eastAsia="es-ES_tradnl"/>
        </w:rPr>
        <w:t>:</w:t>
      </w:r>
    </w:p>
    <w:p w14:paraId="698BC6D4" w14:textId="77777777" w:rsidR="0012567B" w:rsidRPr="00C8275B" w:rsidRDefault="0012567B" w:rsidP="00510D63">
      <w:pPr>
        <w:pStyle w:val="Default"/>
        <w:ind w:left="709"/>
        <w:jc w:val="both"/>
        <w:rPr>
          <w:rFonts w:ascii="Times New Roman" w:hAnsi="Times New Roman" w:cs="Times New Roman"/>
          <w:color w:val="0000FF"/>
          <w:spacing w:val="-3"/>
          <w:sz w:val="22"/>
          <w:szCs w:val="22"/>
          <w:lang w:val="es-ES_tradnl" w:eastAsia="es-ES_tradnl"/>
        </w:rPr>
      </w:pPr>
    </w:p>
    <w:tbl>
      <w:tblPr>
        <w:tblW w:w="3007" w:type="dxa"/>
        <w:jc w:val="center"/>
        <w:tblCellMar>
          <w:left w:w="70" w:type="dxa"/>
          <w:right w:w="70" w:type="dxa"/>
        </w:tblCellMar>
        <w:tblLook w:val="04A0" w:firstRow="1" w:lastRow="0" w:firstColumn="1" w:lastColumn="0" w:noHBand="0" w:noVBand="1"/>
      </w:tblPr>
      <w:tblGrid>
        <w:gridCol w:w="1807"/>
        <w:gridCol w:w="600"/>
        <w:gridCol w:w="600"/>
      </w:tblGrid>
      <w:tr w:rsidR="00CA203E" w:rsidRPr="00C8275B" w14:paraId="6A04007C" w14:textId="77777777" w:rsidTr="00B73F85">
        <w:trPr>
          <w:trHeight w:val="283"/>
          <w:jc w:val="center"/>
        </w:trPr>
        <w:tc>
          <w:tcPr>
            <w:tcW w:w="0" w:type="auto"/>
            <w:tcBorders>
              <w:top w:val="single" w:sz="4" w:space="0" w:color="auto"/>
              <w:bottom w:val="single" w:sz="4" w:space="0" w:color="auto"/>
            </w:tcBorders>
            <w:shd w:val="clear" w:color="auto" w:fill="FFFFFF" w:themeFill="background1"/>
            <w:vAlign w:val="bottom"/>
            <w:hideMark/>
          </w:tcPr>
          <w:p w14:paraId="32579D57" w14:textId="77777777" w:rsidR="00CA203E" w:rsidRPr="00C8275B" w:rsidRDefault="00CA203E"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Categoría</w:t>
            </w:r>
          </w:p>
        </w:tc>
        <w:tc>
          <w:tcPr>
            <w:tcW w:w="0" w:type="auto"/>
            <w:tcBorders>
              <w:top w:val="single" w:sz="4" w:space="0" w:color="auto"/>
              <w:bottom w:val="single" w:sz="4" w:space="0" w:color="auto"/>
            </w:tcBorders>
            <w:shd w:val="clear" w:color="auto" w:fill="FFFFFF" w:themeFill="background1"/>
            <w:vAlign w:val="bottom"/>
            <w:hideMark/>
          </w:tcPr>
          <w:p w14:paraId="663BE2C7" w14:textId="65447DF2" w:rsidR="00CA203E"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2022</w:t>
            </w:r>
          </w:p>
        </w:tc>
        <w:tc>
          <w:tcPr>
            <w:tcW w:w="0" w:type="auto"/>
            <w:tcBorders>
              <w:top w:val="single" w:sz="4" w:space="0" w:color="auto"/>
              <w:bottom w:val="single" w:sz="4" w:space="0" w:color="auto"/>
            </w:tcBorders>
            <w:shd w:val="clear" w:color="auto" w:fill="FFFFFF" w:themeFill="background1"/>
            <w:vAlign w:val="bottom"/>
            <w:hideMark/>
          </w:tcPr>
          <w:p w14:paraId="2277D3C5" w14:textId="6077B72D" w:rsidR="00CA203E"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2021</w:t>
            </w:r>
          </w:p>
        </w:tc>
      </w:tr>
      <w:tr w:rsidR="00816D9B" w:rsidRPr="00C8275B" w14:paraId="4F2F6E04" w14:textId="77777777" w:rsidTr="00B73F85">
        <w:trPr>
          <w:trHeight w:val="283"/>
          <w:jc w:val="center"/>
        </w:trPr>
        <w:tc>
          <w:tcPr>
            <w:tcW w:w="0" w:type="auto"/>
            <w:tcBorders>
              <w:top w:val="single" w:sz="4" w:space="0" w:color="auto"/>
            </w:tcBorders>
            <w:shd w:val="clear" w:color="auto" w:fill="auto"/>
            <w:noWrap/>
            <w:vAlign w:val="bottom"/>
            <w:hideMark/>
          </w:tcPr>
          <w:p w14:paraId="62EB9DAD" w14:textId="77777777" w:rsidR="00816D9B" w:rsidRPr="00C8275B" w:rsidRDefault="00816D9B" w:rsidP="00CA203E">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OFICIAL</w:t>
            </w:r>
          </w:p>
        </w:tc>
        <w:tc>
          <w:tcPr>
            <w:tcW w:w="0" w:type="auto"/>
            <w:tcBorders>
              <w:top w:val="single" w:sz="4" w:space="0" w:color="auto"/>
            </w:tcBorders>
            <w:shd w:val="clear" w:color="auto" w:fill="auto"/>
            <w:vAlign w:val="bottom"/>
            <w:hideMark/>
          </w:tcPr>
          <w:p w14:paraId="040CDC34"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c>
          <w:tcPr>
            <w:tcW w:w="0" w:type="auto"/>
            <w:tcBorders>
              <w:top w:val="single" w:sz="4" w:space="0" w:color="auto"/>
            </w:tcBorders>
            <w:shd w:val="clear" w:color="auto" w:fill="auto"/>
            <w:vAlign w:val="bottom"/>
            <w:hideMark/>
          </w:tcPr>
          <w:p w14:paraId="7C687A79"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816D9B" w:rsidRPr="00C8275B" w14:paraId="3335F71E" w14:textId="77777777" w:rsidTr="00B73F85">
        <w:trPr>
          <w:trHeight w:val="283"/>
          <w:jc w:val="center"/>
        </w:trPr>
        <w:tc>
          <w:tcPr>
            <w:tcW w:w="0" w:type="auto"/>
            <w:tcBorders>
              <w:bottom w:val="single" w:sz="4" w:space="0" w:color="auto"/>
            </w:tcBorders>
            <w:shd w:val="clear" w:color="auto" w:fill="auto"/>
            <w:noWrap/>
            <w:vAlign w:val="bottom"/>
            <w:hideMark/>
          </w:tcPr>
          <w:p w14:paraId="699C653E" w14:textId="77777777" w:rsidR="00816D9B" w:rsidRPr="00C8275B" w:rsidRDefault="00816D9B" w:rsidP="00CA203E">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BIBL.</w:t>
            </w:r>
          </w:p>
        </w:tc>
        <w:tc>
          <w:tcPr>
            <w:tcW w:w="0" w:type="auto"/>
            <w:tcBorders>
              <w:bottom w:val="single" w:sz="4" w:space="0" w:color="auto"/>
            </w:tcBorders>
            <w:shd w:val="clear" w:color="auto" w:fill="auto"/>
            <w:vAlign w:val="bottom"/>
            <w:hideMark/>
          </w:tcPr>
          <w:p w14:paraId="2FE4FAE7"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c>
          <w:tcPr>
            <w:tcW w:w="0" w:type="auto"/>
            <w:tcBorders>
              <w:bottom w:val="single" w:sz="4" w:space="0" w:color="auto"/>
            </w:tcBorders>
            <w:shd w:val="clear" w:color="auto" w:fill="auto"/>
            <w:vAlign w:val="bottom"/>
            <w:hideMark/>
          </w:tcPr>
          <w:p w14:paraId="7E7A41A9" w14:textId="77777777" w:rsidR="00816D9B" w:rsidRPr="00C8275B" w:rsidRDefault="00816D9B" w:rsidP="0042091B">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816D9B" w:rsidRPr="00C8275B" w14:paraId="220D1C1E" w14:textId="77777777" w:rsidTr="00B73F85">
        <w:trPr>
          <w:trHeight w:val="297"/>
          <w:jc w:val="center"/>
        </w:trPr>
        <w:tc>
          <w:tcPr>
            <w:tcW w:w="0" w:type="auto"/>
            <w:tcBorders>
              <w:top w:val="single" w:sz="4" w:space="0" w:color="auto"/>
              <w:bottom w:val="single" w:sz="4" w:space="0" w:color="auto"/>
            </w:tcBorders>
            <w:shd w:val="clear" w:color="auto" w:fill="auto"/>
            <w:noWrap/>
            <w:vAlign w:val="bottom"/>
            <w:hideMark/>
          </w:tcPr>
          <w:p w14:paraId="38560427" w14:textId="77777777" w:rsidR="00816D9B" w:rsidRPr="00C8275B" w:rsidRDefault="00816D9B" w:rsidP="00B73F85">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c>
          <w:tcPr>
            <w:tcW w:w="0" w:type="auto"/>
            <w:tcBorders>
              <w:top w:val="single" w:sz="4" w:space="0" w:color="auto"/>
              <w:bottom w:val="single" w:sz="4" w:space="0" w:color="auto"/>
            </w:tcBorders>
            <w:shd w:val="clear" w:color="auto" w:fill="auto"/>
            <w:noWrap/>
            <w:vAlign w:val="bottom"/>
            <w:hideMark/>
          </w:tcPr>
          <w:p w14:paraId="56EA263B" w14:textId="77777777" w:rsidR="00816D9B" w:rsidRPr="00C8275B" w:rsidRDefault="00816D9B" w:rsidP="0042091B">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w:t>
            </w:r>
          </w:p>
        </w:tc>
        <w:tc>
          <w:tcPr>
            <w:tcW w:w="0" w:type="auto"/>
            <w:tcBorders>
              <w:top w:val="single" w:sz="4" w:space="0" w:color="auto"/>
              <w:bottom w:val="single" w:sz="4" w:space="0" w:color="auto"/>
            </w:tcBorders>
            <w:shd w:val="clear" w:color="auto" w:fill="auto"/>
            <w:noWrap/>
            <w:vAlign w:val="bottom"/>
            <w:hideMark/>
          </w:tcPr>
          <w:p w14:paraId="6FC98C02" w14:textId="77777777" w:rsidR="00816D9B" w:rsidRPr="00C8275B" w:rsidRDefault="00816D9B" w:rsidP="0042091B">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w:t>
            </w:r>
          </w:p>
        </w:tc>
      </w:tr>
    </w:tbl>
    <w:p w14:paraId="6BFC7A3F" w14:textId="77777777" w:rsidR="0012567B" w:rsidRPr="00C8275B" w:rsidRDefault="0012567B" w:rsidP="00510D63">
      <w:pPr>
        <w:pStyle w:val="Default"/>
        <w:ind w:left="709"/>
        <w:jc w:val="both"/>
        <w:rPr>
          <w:rFonts w:ascii="Times New Roman" w:hAnsi="Times New Roman" w:cs="Times New Roman"/>
          <w:color w:val="0000FF"/>
          <w:spacing w:val="-3"/>
          <w:sz w:val="22"/>
          <w:szCs w:val="22"/>
          <w:lang w:val="es-ES_tradnl" w:eastAsia="es-ES_tradnl"/>
        </w:rPr>
      </w:pPr>
    </w:p>
    <w:p w14:paraId="560AB94D" w14:textId="77777777" w:rsidR="00486703" w:rsidRDefault="00486703" w:rsidP="00486703">
      <w:pPr>
        <w:widowControl/>
        <w:autoSpaceDE/>
        <w:autoSpaceDN/>
        <w:adjustRightInd/>
        <w:ind w:firstLine="709"/>
        <w:jc w:val="both"/>
        <w:rPr>
          <w:rFonts w:ascii="Times New Roman" w:hAnsi="Times New Roman" w:cs="Times New Roman"/>
          <w:spacing w:val="-3"/>
          <w:sz w:val="22"/>
          <w:szCs w:val="22"/>
          <w:lang w:val="es-ES_tradnl" w:eastAsia="es-ES_tradnl"/>
        </w:rPr>
      </w:pPr>
    </w:p>
    <w:p w14:paraId="6714581E" w14:textId="1E5C4D35" w:rsidR="00486703" w:rsidRPr="00C8275B" w:rsidRDefault="00486703" w:rsidP="00486703">
      <w:pPr>
        <w:widowControl/>
        <w:autoSpaceDE/>
        <w:autoSpaceDN/>
        <w:adjustRightInd/>
        <w:ind w:firstLine="709"/>
        <w:jc w:val="both"/>
        <w:rPr>
          <w:rFonts w:ascii="Times New Roman" w:hAnsi="Times New Roman" w:cs="Times New Roman"/>
          <w:spacing w:val="-3"/>
          <w:sz w:val="22"/>
          <w:szCs w:val="22"/>
          <w:lang w:val="es-ES_tradnl" w:eastAsia="es-ES_tradnl"/>
        </w:rPr>
      </w:pPr>
      <w:r w:rsidRPr="00C8275B">
        <w:rPr>
          <w:rFonts w:ascii="Times New Roman" w:hAnsi="Times New Roman" w:cs="Times New Roman"/>
          <w:spacing w:val="-3"/>
          <w:sz w:val="22"/>
          <w:szCs w:val="22"/>
          <w:lang w:val="es-ES_tradnl" w:eastAsia="es-ES_tradnl"/>
        </w:rPr>
        <w:t>La plantilla al cierre del ejercicio por categoría y sexo es la siguiente:</w:t>
      </w:r>
    </w:p>
    <w:p w14:paraId="12856DAA" w14:textId="77777777" w:rsidR="00486703" w:rsidRPr="00C8275B" w:rsidRDefault="00486703" w:rsidP="00486703">
      <w:pPr>
        <w:widowControl/>
        <w:autoSpaceDE/>
        <w:autoSpaceDN/>
        <w:adjustRightInd/>
        <w:ind w:firstLine="709"/>
        <w:jc w:val="both"/>
        <w:rPr>
          <w:rFonts w:ascii="Times New Roman" w:hAnsi="Times New Roman" w:cs="Times New Roman"/>
          <w:color w:val="0000FF"/>
          <w:spacing w:val="-3"/>
          <w:sz w:val="22"/>
          <w:szCs w:val="22"/>
          <w:lang w:val="es-ES_tradnl" w:eastAsia="es-ES_tradnl"/>
        </w:rPr>
      </w:pPr>
    </w:p>
    <w:tbl>
      <w:tblPr>
        <w:tblW w:w="6391" w:type="dxa"/>
        <w:jc w:val="center"/>
        <w:tblCellMar>
          <w:left w:w="70" w:type="dxa"/>
          <w:right w:w="70" w:type="dxa"/>
        </w:tblCellMar>
        <w:tblLook w:val="04A0" w:firstRow="1" w:lastRow="0" w:firstColumn="1" w:lastColumn="0" w:noHBand="0" w:noVBand="1"/>
      </w:tblPr>
      <w:tblGrid>
        <w:gridCol w:w="2722"/>
        <w:gridCol w:w="993"/>
        <w:gridCol w:w="842"/>
        <w:gridCol w:w="992"/>
        <w:gridCol w:w="842"/>
      </w:tblGrid>
      <w:tr w:rsidR="00486703" w:rsidRPr="00C8275B" w14:paraId="71A40289" w14:textId="77777777" w:rsidTr="00B73F85">
        <w:trPr>
          <w:trHeight w:val="452"/>
          <w:jc w:val="center"/>
        </w:trPr>
        <w:tc>
          <w:tcPr>
            <w:tcW w:w="0" w:type="auto"/>
            <w:tcBorders>
              <w:top w:val="single" w:sz="4" w:space="0" w:color="auto"/>
              <w:left w:val="nil"/>
              <w:bottom w:val="single" w:sz="4" w:space="0" w:color="auto"/>
              <w:right w:val="nil"/>
            </w:tcBorders>
            <w:shd w:val="clear" w:color="auto" w:fill="FFFFFF" w:themeFill="background1"/>
            <w:noWrap/>
            <w:vAlign w:val="center"/>
            <w:hideMark/>
          </w:tcPr>
          <w:p w14:paraId="23CCC26A" w14:textId="7EEA1572" w:rsidR="00486703" w:rsidRPr="00C8275B" w:rsidRDefault="00486703" w:rsidP="0066033A">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C a t e g o r í a</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14B2412" w14:textId="77777777" w:rsidR="00486703" w:rsidRPr="009F534F" w:rsidRDefault="00486703" w:rsidP="00367A98">
            <w:pPr>
              <w:widowControl/>
              <w:autoSpaceDE/>
              <w:autoSpaceDN/>
              <w:adjustRightInd/>
              <w:jc w:val="center"/>
              <w:rPr>
                <w:rFonts w:ascii="Times New Roman" w:hAnsi="Times New Roman" w:cs="Times New Roman"/>
                <w:b/>
                <w:bCs/>
                <w:sz w:val="18"/>
                <w:szCs w:val="18"/>
              </w:rPr>
            </w:pPr>
            <w:r w:rsidRPr="009F534F">
              <w:rPr>
                <w:rFonts w:ascii="Times New Roman" w:hAnsi="Times New Roman" w:cs="Times New Roman"/>
                <w:b/>
                <w:bCs/>
                <w:sz w:val="18"/>
                <w:szCs w:val="18"/>
              </w:rPr>
              <w:t>Hombre 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3AB3658F" w14:textId="77777777" w:rsidR="00486703" w:rsidRPr="009F534F" w:rsidRDefault="00486703" w:rsidP="00367A98">
            <w:pPr>
              <w:widowControl/>
              <w:autoSpaceDE/>
              <w:autoSpaceDN/>
              <w:adjustRightInd/>
              <w:jc w:val="center"/>
              <w:rPr>
                <w:rFonts w:ascii="Times New Roman" w:hAnsi="Times New Roman" w:cs="Times New Roman"/>
                <w:b/>
                <w:bCs/>
                <w:sz w:val="18"/>
                <w:szCs w:val="18"/>
              </w:rPr>
            </w:pPr>
            <w:r w:rsidRPr="009F534F">
              <w:rPr>
                <w:rFonts w:ascii="Times New Roman" w:hAnsi="Times New Roman" w:cs="Times New Roman"/>
                <w:b/>
                <w:bCs/>
                <w:sz w:val="18"/>
                <w:szCs w:val="18"/>
              </w:rPr>
              <w:t>Mujer 2022</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0F4C006F"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Hombre 2021</w:t>
            </w:r>
          </w:p>
        </w:tc>
        <w:tc>
          <w:tcPr>
            <w:tcW w:w="0" w:type="auto"/>
            <w:tcBorders>
              <w:top w:val="single" w:sz="4" w:space="0" w:color="auto"/>
              <w:left w:val="nil"/>
              <w:bottom w:val="single" w:sz="4" w:space="0" w:color="auto"/>
              <w:right w:val="nil"/>
            </w:tcBorders>
            <w:shd w:val="clear" w:color="auto" w:fill="FFFFFF" w:themeFill="background1"/>
            <w:vAlign w:val="center"/>
            <w:hideMark/>
          </w:tcPr>
          <w:p w14:paraId="71B96D53"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Mujer 2021</w:t>
            </w:r>
          </w:p>
        </w:tc>
      </w:tr>
      <w:tr w:rsidR="00486703" w:rsidRPr="00C8275B" w14:paraId="32F96B72" w14:textId="77777777" w:rsidTr="00B73F85">
        <w:trPr>
          <w:trHeight w:val="274"/>
          <w:jc w:val="center"/>
        </w:trPr>
        <w:tc>
          <w:tcPr>
            <w:tcW w:w="0" w:type="auto"/>
            <w:tcBorders>
              <w:top w:val="single" w:sz="4" w:space="0" w:color="auto"/>
              <w:left w:val="nil"/>
              <w:bottom w:val="nil"/>
              <w:right w:val="nil"/>
            </w:tcBorders>
            <w:shd w:val="clear" w:color="auto" w:fill="auto"/>
            <w:noWrap/>
            <w:vAlign w:val="bottom"/>
            <w:hideMark/>
          </w:tcPr>
          <w:p w14:paraId="3C022580"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ADMINISTRATIVO</w:t>
            </w:r>
          </w:p>
        </w:tc>
        <w:tc>
          <w:tcPr>
            <w:tcW w:w="0" w:type="auto"/>
            <w:tcBorders>
              <w:top w:val="single" w:sz="4" w:space="0" w:color="auto"/>
              <w:left w:val="nil"/>
              <w:bottom w:val="nil"/>
              <w:right w:val="nil"/>
            </w:tcBorders>
            <w:shd w:val="clear" w:color="auto" w:fill="auto"/>
            <w:vAlign w:val="bottom"/>
            <w:hideMark/>
          </w:tcPr>
          <w:p w14:paraId="39657059"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4</w:t>
            </w:r>
          </w:p>
        </w:tc>
        <w:tc>
          <w:tcPr>
            <w:tcW w:w="0" w:type="auto"/>
            <w:tcBorders>
              <w:top w:val="single" w:sz="4" w:space="0" w:color="auto"/>
              <w:left w:val="nil"/>
              <w:bottom w:val="nil"/>
              <w:right w:val="nil"/>
            </w:tcBorders>
            <w:shd w:val="clear" w:color="auto" w:fill="auto"/>
            <w:vAlign w:val="bottom"/>
            <w:hideMark/>
          </w:tcPr>
          <w:p w14:paraId="0393DFC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13</w:t>
            </w:r>
          </w:p>
        </w:tc>
        <w:tc>
          <w:tcPr>
            <w:tcW w:w="0" w:type="auto"/>
            <w:tcBorders>
              <w:top w:val="single" w:sz="4" w:space="0" w:color="auto"/>
              <w:left w:val="nil"/>
              <w:bottom w:val="nil"/>
              <w:right w:val="nil"/>
            </w:tcBorders>
            <w:shd w:val="clear" w:color="auto" w:fill="auto"/>
            <w:vAlign w:val="bottom"/>
            <w:hideMark/>
          </w:tcPr>
          <w:p w14:paraId="5AFD6A4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4</w:t>
            </w:r>
          </w:p>
        </w:tc>
        <w:tc>
          <w:tcPr>
            <w:tcW w:w="0" w:type="auto"/>
            <w:tcBorders>
              <w:top w:val="single" w:sz="4" w:space="0" w:color="auto"/>
              <w:left w:val="nil"/>
              <w:bottom w:val="nil"/>
              <w:right w:val="nil"/>
            </w:tcBorders>
            <w:shd w:val="clear" w:color="auto" w:fill="auto"/>
            <w:vAlign w:val="bottom"/>
            <w:hideMark/>
          </w:tcPr>
          <w:p w14:paraId="46E3F9F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11</w:t>
            </w:r>
          </w:p>
        </w:tc>
      </w:tr>
      <w:tr w:rsidR="00486703" w:rsidRPr="00C8275B" w14:paraId="1605EBF0"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259BD1C7"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ANIM</w:t>
            </w:r>
            <w:r>
              <w:rPr>
                <w:rFonts w:ascii="Times New Roman" w:hAnsi="Times New Roman" w:cs="Times New Roman"/>
                <w:sz w:val="18"/>
                <w:szCs w:val="18"/>
              </w:rPr>
              <w:t xml:space="preserve">ADOR </w:t>
            </w:r>
            <w:r w:rsidRPr="00C8275B">
              <w:rPr>
                <w:rFonts w:ascii="Times New Roman" w:hAnsi="Times New Roman" w:cs="Times New Roman"/>
                <w:sz w:val="18"/>
                <w:szCs w:val="18"/>
              </w:rPr>
              <w:t>SOC</w:t>
            </w:r>
            <w:r>
              <w:rPr>
                <w:rFonts w:ascii="Times New Roman" w:hAnsi="Times New Roman" w:cs="Times New Roman"/>
                <w:sz w:val="18"/>
                <w:szCs w:val="18"/>
              </w:rPr>
              <w:t xml:space="preserve">IO </w:t>
            </w:r>
            <w:r w:rsidRPr="00C8275B">
              <w:rPr>
                <w:rFonts w:ascii="Times New Roman" w:hAnsi="Times New Roman" w:cs="Times New Roman"/>
                <w:sz w:val="18"/>
                <w:szCs w:val="18"/>
              </w:rPr>
              <w:t>CUL</w:t>
            </w:r>
            <w:r>
              <w:rPr>
                <w:rFonts w:ascii="Times New Roman" w:hAnsi="Times New Roman" w:cs="Times New Roman"/>
                <w:sz w:val="18"/>
                <w:szCs w:val="18"/>
              </w:rPr>
              <w:t>TURAL</w:t>
            </w:r>
          </w:p>
        </w:tc>
        <w:tc>
          <w:tcPr>
            <w:tcW w:w="0" w:type="auto"/>
            <w:tcBorders>
              <w:top w:val="nil"/>
              <w:left w:val="nil"/>
              <w:bottom w:val="nil"/>
              <w:right w:val="nil"/>
            </w:tcBorders>
            <w:shd w:val="clear" w:color="auto" w:fill="auto"/>
            <w:vAlign w:val="bottom"/>
            <w:hideMark/>
          </w:tcPr>
          <w:p w14:paraId="65CB7F34"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4ADBEBC5"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1F0C466"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3CAB631C"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r>
      <w:tr w:rsidR="00486703" w:rsidRPr="00C8275B" w14:paraId="17BFE42C"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7C390397"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AUXILIAR</w:t>
            </w:r>
          </w:p>
        </w:tc>
        <w:tc>
          <w:tcPr>
            <w:tcW w:w="0" w:type="auto"/>
            <w:tcBorders>
              <w:top w:val="nil"/>
              <w:left w:val="nil"/>
              <w:bottom w:val="nil"/>
              <w:right w:val="nil"/>
            </w:tcBorders>
            <w:shd w:val="clear" w:color="auto" w:fill="auto"/>
            <w:vAlign w:val="bottom"/>
            <w:hideMark/>
          </w:tcPr>
          <w:p w14:paraId="324BBAE8"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1E4E244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6D2BB5E"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4D6ADD7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54CB08B2"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37A124B5"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AUX. ADMIN.</w:t>
            </w:r>
          </w:p>
        </w:tc>
        <w:tc>
          <w:tcPr>
            <w:tcW w:w="0" w:type="auto"/>
            <w:tcBorders>
              <w:top w:val="nil"/>
              <w:left w:val="nil"/>
              <w:bottom w:val="nil"/>
              <w:right w:val="nil"/>
            </w:tcBorders>
            <w:shd w:val="clear" w:color="auto" w:fill="auto"/>
            <w:vAlign w:val="bottom"/>
            <w:hideMark/>
          </w:tcPr>
          <w:p w14:paraId="3C09FA7D"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65DB52D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2A06F71A"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68425BDC"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35C47D9D"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0C19859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ENCARGADO</w:t>
            </w:r>
          </w:p>
        </w:tc>
        <w:tc>
          <w:tcPr>
            <w:tcW w:w="0" w:type="auto"/>
            <w:tcBorders>
              <w:top w:val="nil"/>
              <w:left w:val="nil"/>
              <w:bottom w:val="nil"/>
              <w:right w:val="nil"/>
            </w:tcBorders>
            <w:shd w:val="clear" w:color="auto" w:fill="auto"/>
            <w:vAlign w:val="bottom"/>
            <w:hideMark/>
          </w:tcPr>
          <w:p w14:paraId="4A2674B4"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4057F37C"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924AA93"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5EB08AAA"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r>
      <w:tr w:rsidR="00486703" w:rsidRPr="00C8275B" w14:paraId="01B824B8"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E13D26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MARKETING</w:t>
            </w:r>
          </w:p>
        </w:tc>
        <w:tc>
          <w:tcPr>
            <w:tcW w:w="0" w:type="auto"/>
            <w:tcBorders>
              <w:top w:val="nil"/>
              <w:left w:val="nil"/>
              <w:bottom w:val="nil"/>
              <w:right w:val="nil"/>
            </w:tcBorders>
            <w:shd w:val="clear" w:color="auto" w:fill="auto"/>
            <w:vAlign w:val="bottom"/>
            <w:hideMark/>
          </w:tcPr>
          <w:p w14:paraId="697C194D"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58E3954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2DE2E41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45526A3"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70A3854A"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06550BB"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OFICIAL</w:t>
            </w:r>
          </w:p>
        </w:tc>
        <w:tc>
          <w:tcPr>
            <w:tcW w:w="0" w:type="auto"/>
            <w:tcBorders>
              <w:top w:val="nil"/>
              <w:left w:val="nil"/>
              <w:bottom w:val="nil"/>
              <w:right w:val="nil"/>
            </w:tcBorders>
            <w:shd w:val="clear" w:color="auto" w:fill="auto"/>
            <w:vAlign w:val="bottom"/>
            <w:hideMark/>
          </w:tcPr>
          <w:p w14:paraId="19D6DE05"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10</w:t>
            </w:r>
          </w:p>
        </w:tc>
        <w:tc>
          <w:tcPr>
            <w:tcW w:w="0" w:type="auto"/>
            <w:tcBorders>
              <w:top w:val="nil"/>
              <w:left w:val="nil"/>
              <w:bottom w:val="nil"/>
              <w:right w:val="nil"/>
            </w:tcBorders>
            <w:shd w:val="clear" w:color="auto" w:fill="auto"/>
            <w:vAlign w:val="bottom"/>
            <w:hideMark/>
          </w:tcPr>
          <w:p w14:paraId="63102641"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D986D8B"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10</w:t>
            </w:r>
          </w:p>
        </w:tc>
        <w:tc>
          <w:tcPr>
            <w:tcW w:w="0" w:type="auto"/>
            <w:tcBorders>
              <w:top w:val="nil"/>
              <w:left w:val="nil"/>
              <w:bottom w:val="nil"/>
              <w:right w:val="nil"/>
            </w:tcBorders>
            <w:shd w:val="clear" w:color="auto" w:fill="auto"/>
            <w:vAlign w:val="bottom"/>
            <w:hideMark/>
          </w:tcPr>
          <w:p w14:paraId="5BAF56D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78F9675E"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C3D6C81"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SECRETARIA</w:t>
            </w:r>
          </w:p>
        </w:tc>
        <w:tc>
          <w:tcPr>
            <w:tcW w:w="0" w:type="auto"/>
            <w:tcBorders>
              <w:top w:val="nil"/>
              <w:left w:val="nil"/>
              <w:bottom w:val="nil"/>
              <w:right w:val="nil"/>
            </w:tcBorders>
            <w:shd w:val="clear" w:color="auto" w:fill="auto"/>
            <w:vAlign w:val="bottom"/>
            <w:hideMark/>
          </w:tcPr>
          <w:p w14:paraId="6B787E2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88DAB71"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DF6C3E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EC72594"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29CEFA4"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2FF81B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BIBL.CO</w:t>
            </w:r>
          </w:p>
        </w:tc>
        <w:tc>
          <w:tcPr>
            <w:tcW w:w="0" w:type="auto"/>
            <w:tcBorders>
              <w:top w:val="nil"/>
              <w:left w:val="nil"/>
              <w:bottom w:val="nil"/>
              <w:right w:val="nil"/>
            </w:tcBorders>
            <w:shd w:val="clear" w:color="auto" w:fill="auto"/>
            <w:vAlign w:val="bottom"/>
            <w:hideMark/>
          </w:tcPr>
          <w:p w14:paraId="6F208AB8"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4E769FFE"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37E4A386"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596213C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r>
      <w:tr w:rsidR="00486703" w:rsidRPr="00C8275B" w14:paraId="0DDA85D2"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79A22B3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AUX. BIB</w:t>
            </w:r>
            <w:r>
              <w:rPr>
                <w:rFonts w:ascii="Times New Roman" w:hAnsi="Times New Roman" w:cs="Times New Roman"/>
                <w:sz w:val="18"/>
                <w:szCs w:val="18"/>
              </w:rPr>
              <w:t>LIOTECA</w:t>
            </w:r>
          </w:p>
        </w:tc>
        <w:tc>
          <w:tcPr>
            <w:tcW w:w="0" w:type="auto"/>
            <w:tcBorders>
              <w:top w:val="nil"/>
              <w:left w:val="nil"/>
              <w:bottom w:val="nil"/>
              <w:right w:val="nil"/>
            </w:tcBorders>
            <w:shd w:val="clear" w:color="auto" w:fill="auto"/>
            <w:vAlign w:val="bottom"/>
            <w:hideMark/>
          </w:tcPr>
          <w:p w14:paraId="5D609F24"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7</w:t>
            </w:r>
          </w:p>
        </w:tc>
        <w:tc>
          <w:tcPr>
            <w:tcW w:w="0" w:type="auto"/>
            <w:tcBorders>
              <w:top w:val="nil"/>
              <w:left w:val="nil"/>
              <w:bottom w:val="nil"/>
              <w:right w:val="nil"/>
            </w:tcBorders>
            <w:shd w:val="clear" w:color="auto" w:fill="auto"/>
            <w:vAlign w:val="bottom"/>
            <w:hideMark/>
          </w:tcPr>
          <w:p w14:paraId="5EC610E7"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25</w:t>
            </w:r>
          </w:p>
        </w:tc>
        <w:tc>
          <w:tcPr>
            <w:tcW w:w="0" w:type="auto"/>
            <w:tcBorders>
              <w:top w:val="nil"/>
              <w:left w:val="nil"/>
              <w:bottom w:val="nil"/>
              <w:right w:val="nil"/>
            </w:tcBorders>
            <w:shd w:val="clear" w:color="auto" w:fill="auto"/>
            <w:vAlign w:val="bottom"/>
            <w:hideMark/>
          </w:tcPr>
          <w:p w14:paraId="6F834C2D"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6</w:t>
            </w:r>
          </w:p>
        </w:tc>
        <w:tc>
          <w:tcPr>
            <w:tcW w:w="0" w:type="auto"/>
            <w:tcBorders>
              <w:top w:val="nil"/>
              <w:left w:val="nil"/>
              <w:bottom w:val="nil"/>
              <w:right w:val="nil"/>
            </w:tcBorders>
            <w:shd w:val="clear" w:color="auto" w:fill="auto"/>
            <w:vAlign w:val="bottom"/>
            <w:hideMark/>
          </w:tcPr>
          <w:p w14:paraId="1B0E4785"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25</w:t>
            </w:r>
          </w:p>
        </w:tc>
      </w:tr>
      <w:tr w:rsidR="00486703" w:rsidRPr="00C8275B" w14:paraId="39A31F97"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134C8E3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GES</w:t>
            </w:r>
            <w:r>
              <w:rPr>
                <w:rFonts w:ascii="Times New Roman" w:hAnsi="Times New Roman" w:cs="Times New Roman"/>
                <w:sz w:val="18"/>
                <w:szCs w:val="18"/>
              </w:rPr>
              <w:t>TION</w:t>
            </w:r>
            <w:r w:rsidRPr="00C8275B">
              <w:rPr>
                <w:rFonts w:ascii="Times New Roman" w:hAnsi="Times New Roman" w:cs="Times New Roman"/>
                <w:sz w:val="18"/>
                <w:szCs w:val="18"/>
              </w:rPr>
              <w:t xml:space="preserve"> MEDIO</w:t>
            </w:r>
          </w:p>
        </w:tc>
        <w:tc>
          <w:tcPr>
            <w:tcW w:w="0" w:type="auto"/>
            <w:tcBorders>
              <w:top w:val="nil"/>
              <w:left w:val="nil"/>
              <w:bottom w:val="nil"/>
              <w:right w:val="nil"/>
            </w:tcBorders>
            <w:shd w:val="clear" w:color="auto" w:fill="auto"/>
            <w:vAlign w:val="bottom"/>
            <w:hideMark/>
          </w:tcPr>
          <w:p w14:paraId="7AF8FEB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D51974A"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4</w:t>
            </w:r>
          </w:p>
        </w:tc>
        <w:tc>
          <w:tcPr>
            <w:tcW w:w="0" w:type="auto"/>
            <w:tcBorders>
              <w:top w:val="nil"/>
              <w:left w:val="nil"/>
              <w:bottom w:val="nil"/>
              <w:right w:val="nil"/>
            </w:tcBorders>
            <w:shd w:val="clear" w:color="auto" w:fill="auto"/>
            <w:vAlign w:val="bottom"/>
            <w:hideMark/>
          </w:tcPr>
          <w:p w14:paraId="7E25CAD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0AE2CB6F"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7</w:t>
            </w:r>
          </w:p>
        </w:tc>
      </w:tr>
      <w:tr w:rsidR="00486703" w:rsidRPr="00C8275B" w14:paraId="33D69661"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1FFBB86"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GRADO SUPE</w:t>
            </w:r>
            <w:r>
              <w:rPr>
                <w:rFonts w:ascii="Times New Roman" w:hAnsi="Times New Roman" w:cs="Times New Roman"/>
                <w:sz w:val="18"/>
                <w:szCs w:val="18"/>
              </w:rPr>
              <w:t>RIOR</w:t>
            </w:r>
          </w:p>
        </w:tc>
        <w:tc>
          <w:tcPr>
            <w:tcW w:w="0" w:type="auto"/>
            <w:tcBorders>
              <w:top w:val="nil"/>
              <w:left w:val="nil"/>
              <w:bottom w:val="nil"/>
              <w:right w:val="nil"/>
            </w:tcBorders>
            <w:shd w:val="clear" w:color="auto" w:fill="auto"/>
            <w:vAlign w:val="bottom"/>
            <w:hideMark/>
          </w:tcPr>
          <w:p w14:paraId="0AC9CB17"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7A80E8CD" w14:textId="77777777" w:rsidR="00486703" w:rsidRPr="009F534F" w:rsidRDefault="00486703" w:rsidP="00367A98">
            <w:pPr>
              <w:widowControl/>
              <w:autoSpaceDE/>
              <w:autoSpaceDN/>
              <w:adjustRightInd/>
              <w:jc w:val="center"/>
              <w:rPr>
                <w:rFonts w:ascii="Times New Roman" w:hAnsi="Times New Roman" w:cs="Times New Roman"/>
                <w:sz w:val="18"/>
                <w:szCs w:val="18"/>
              </w:rPr>
            </w:pPr>
            <w:r w:rsidRPr="009F534F">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3E6FEA32"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2</w:t>
            </w:r>
          </w:p>
        </w:tc>
        <w:tc>
          <w:tcPr>
            <w:tcW w:w="0" w:type="auto"/>
            <w:tcBorders>
              <w:top w:val="nil"/>
              <w:left w:val="nil"/>
              <w:bottom w:val="nil"/>
              <w:right w:val="nil"/>
            </w:tcBorders>
            <w:shd w:val="clear" w:color="auto" w:fill="auto"/>
            <w:vAlign w:val="bottom"/>
            <w:hideMark/>
          </w:tcPr>
          <w:p w14:paraId="66786564"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06A4A8B" w14:textId="77777777" w:rsidTr="00367A98">
        <w:trPr>
          <w:trHeight w:val="274"/>
          <w:jc w:val="center"/>
        </w:trPr>
        <w:tc>
          <w:tcPr>
            <w:tcW w:w="0" w:type="auto"/>
            <w:tcBorders>
              <w:top w:val="nil"/>
              <w:left w:val="nil"/>
              <w:bottom w:val="nil"/>
              <w:right w:val="nil"/>
            </w:tcBorders>
            <w:shd w:val="clear" w:color="auto" w:fill="auto"/>
            <w:noWrap/>
            <w:vAlign w:val="bottom"/>
            <w:hideMark/>
          </w:tcPr>
          <w:p w14:paraId="4A53D40A"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MARKET</w:t>
            </w:r>
            <w:r>
              <w:rPr>
                <w:rFonts w:ascii="Times New Roman" w:hAnsi="Times New Roman" w:cs="Times New Roman"/>
                <w:sz w:val="18"/>
                <w:szCs w:val="18"/>
              </w:rPr>
              <w:t>ING</w:t>
            </w:r>
          </w:p>
        </w:tc>
        <w:tc>
          <w:tcPr>
            <w:tcW w:w="0" w:type="auto"/>
            <w:tcBorders>
              <w:top w:val="nil"/>
              <w:left w:val="nil"/>
              <w:bottom w:val="nil"/>
              <w:right w:val="nil"/>
            </w:tcBorders>
            <w:shd w:val="clear" w:color="auto" w:fill="auto"/>
            <w:vAlign w:val="bottom"/>
            <w:hideMark/>
          </w:tcPr>
          <w:p w14:paraId="0CFA6472"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7CEC1099"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nil"/>
              <w:right w:val="nil"/>
            </w:tcBorders>
            <w:shd w:val="clear" w:color="auto" w:fill="auto"/>
            <w:vAlign w:val="bottom"/>
            <w:hideMark/>
          </w:tcPr>
          <w:p w14:paraId="0745BDB7"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nil"/>
              <w:right w:val="nil"/>
            </w:tcBorders>
            <w:shd w:val="clear" w:color="auto" w:fill="auto"/>
            <w:vAlign w:val="bottom"/>
            <w:hideMark/>
          </w:tcPr>
          <w:p w14:paraId="198BB9F9"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28AC2BE2" w14:textId="77777777" w:rsidTr="00B73F85">
        <w:trPr>
          <w:trHeight w:val="274"/>
          <w:jc w:val="center"/>
        </w:trPr>
        <w:tc>
          <w:tcPr>
            <w:tcW w:w="0" w:type="auto"/>
            <w:tcBorders>
              <w:top w:val="nil"/>
              <w:left w:val="nil"/>
              <w:bottom w:val="single" w:sz="4" w:space="0" w:color="auto"/>
              <w:right w:val="nil"/>
            </w:tcBorders>
            <w:shd w:val="clear" w:color="auto" w:fill="auto"/>
            <w:noWrap/>
            <w:vAlign w:val="bottom"/>
            <w:hideMark/>
          </w:tcPr>
          <w:p w14:paraId="28BA7C1B" w14:textId="77777777" w:rsidR="00486703" w:rsidRPr="00C8275B" w:rsidRDefault="00486703" w:rsidP="00367A98">
            <w:pPr>
              <w:widowControl/>
              <w:autoSpaceDE/>
              <w:autoSpaceDN/>
              <w:adjustRightInd/>
              <w:rPr>
                <w:rFonts w:ascii="Times New Roman" w:hAnsi="Times New Roman" w:cs="Times New Roman"/>
                <w:sz w:val="18"/>
                <w:szCs w:val="18"/>
              </w:rPr>
            </w:pPr>
            <w:r w:rsidRPr="00C8275B">
              <w:rPr>
                <w:rFonts w:ascii="Times New Roman" w:hAnsi="Times New Roman" w:cs="Times New Roman"/>
                <w:sz w:val="18"/>
                <w:szCs w:val="18"/>
              </w:rPr>
              <w:t>TEC. PRODUC</w:t>
            </w:r>
            <w:r>
              <w:rPr>
                <w:rFonts w:ascii="Times New Roman" w:hAnsi="Times New Roman" w:cs="Times New Roman"/>
                <w:sz w:val="18"/>
                <w:szCs w:val="18"/>
              </w:rPr>
              <w:t>CION</w:t>
            </w:r>
          </w:p>
        </w:tc>
        <w:tc>
          <w:tcPr>
            <w:tcW w:w="0" w:type="auto"/>
            <w:tcBorders>
              <w:top w:val="nil"/>
              <w:left w:val="nil"/>
              <w:bottom w:val="single" w:sz="4" w:space="0" w:color="auto"/>
              <w:right w:val="nil"/>
            </w:tcBorders>
            <w:shd w:val="clear" w:color="auto" w:fill="auto"/>
            <w:vAlign w:val="bottom"/>
            <w:hideMark/>
          </w:tcPr>
          <w:p w14:paraId="1537E7D6"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bottom"/>
            <w:hideMark/>
          </w:tcPr>
          <w:p w14:paraId="1CC5AFEC" w14:textId="77777777" w:rsidR="00486703" w:rsidRPr="002B74C2" w:rsidRDefault="00486703" w:rsidP="00367A98">
            <w:pPr>
              <w:widowControl/>
              <w:autoSpaceDE/>
              <w:autoSpaceDN/>
              <w:adjustRightInd/>
              <w:jc w:val="center"/>
              <w:rPr>
                <w:rFonts w:ascii="Times New Roman" w:hAnsi="Times New Roman" w:cs="Times New Roman"/>
                <w:sz w:val="18"/>
                <w:szCs w:val="18"/>
              </w:rPr>
            </w:pPr>
            <w:r w:rsidRPr="002B74C2">
              <w:rPr>
                <w:rFonts w:ascii="Times New Roman" w:hAnsi="Times New Roman" w:cs="Times New Roman"/>
                <w:sz w:val="18"/>
                <w:szCs w:val="18"/>
              </w:rPr>
              <w:t>1</w:t>
            </w:r>
          </w:p>
        </w:tc>
        <w:tc>
          <w:tcPr>
            <w:tcW w:w="0" w:type="auto"/>
            <w:tcBorders>
              <w:top w:val="nil"/>
              <w:left w:val="nil"/>
              <w:bottom w:val="single" w:sz="4" w:space="0" w:color="auto"/>
              <w:right w:val="nil"/>
            </w:tcBorders>
            <w:shd w:val="clear" w:color="auto" w:fill="auto"/>
            <w:vAlign w:val="bottom"/>
            <w:hideMark/>
          </w:tcPr>
          <w:p w14:paraId="66FAA68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0</w:t>
            </w:r>
          </w:p>
        </w:tc>
        <w:tc>
          <w:tcPr>
            <w:tcW w:w="0" w:type="auto"/>
            <w:tcBorders>
              <w:top w:val="nil"/>
              <w:left w:val="nil"/>
              <w:bottom w:val="single" w:sz="4" w:space="0" w:color="auto"/>
              <w:right w:val="nil"/>
            </w:tcBorders>
            <w:shd w:val="clear" w:color="auto" w:fill="auto"/>
            <w:vAlign w:val="bottom"/>
            <w:hideMark/>
          </w:tcPr>
          <w:p w14:paraId="38D39948" w14:textId="77777777" w:rsidR="00486703" w:rsidRPr="00C8275B" w:rsidRDefault="00486703" w:rsidP="00367A98">
            <w:pPr>
              <w:widowControl/>
              <w:autoSpaceDE/>
              <w:autoSpaceDN/>
              <w:adjustRightInd/>
              <w:jc w:val="center"/>
              <w:rPr>
                <w:rFonts w:ascii="Times New Roman" w:hAnsi="Times New Roman" w:cs="Times New Roman"/>
                <w:sz w:val="18"/>
                <w:szCs w:val="18"/>
              </w:rPr>
            </w:pPr>
            <w:r w:rsidRPr="00C8275B">
              <w:rPr>
                <w:rFonts w:ascii="Times New Roman" w:hAnsi="Times New Roman" w:cs="Times New Roman"/>
                <w:sz w:val="18"/>
                <w:szCs w:val="18"/>
              </w:rPr>
              <w:t>1</w:t>
            </w:r>
          </w:p>
        </w:tc>
      </w:tr>
      <w:tr w:rsidR="00486703" w:rsidRPr="00C8275B" w14:paraId="46D80E86" w14:textId="77777777" w:rsidTr="00B73F85">
        <w:trPr>
          <w:trHeight w:val="287"/>
          <w:jc w:val="center"/>
        </w:trPr>
        <w:tc>
          <w:tcPr>
            <w:tcW w:w="0" w:type="auto"/>
            <w:tcBorders>
              <w:top w:val="single" w:sz="4" w:space="0" w:color="auto"/>
              <w:left w:val="nil"/>
              <w:bottom w:val="single" w:sz="4" w:space="0" w:color="auto"/>
              <w:right w:val="nil"/>
            </w:tcBorders>
            <w:shd w:val="clear" w:color="auto" w:fill="auto"/>
            <w:noWrap/>
            <w:vAlign w:val="bottom"/>
            <w:hideMark/>
          </w:tcPr>
          <w:p w14:paraId="701C56F0" w14:textId="6A90B58A" w:rsidR="00486703" w:rsidRPr="00C8275B" w:rsidRDefault="00486703" w:rsidP="0066033A">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TOTAL</w:t>
            </w:r>
          </w:p>
        </w:tc>
        <w:tc>
          <w:tcPr>
            <w:tcW w:w="0" w:type="auto"/>
            <w:tcBorders>
              <w:top w:val="single" w:sz="4" w:space="0" w:color="auto"/>
              <w:left w:val="nil"/>
              <w:bottom w:val="single" w:sz="4" w:space="0" w:color="auto"/>
              <w:right w:val="nil"/>
            </w:tcBorders>
            <w:shd w:val="clear" w:color="auto" w:fill="auto"/>
            <w:vAlign w:val="bottom"/>
            <w:hideMark/>
          </w:tcPr>
          <w:p w14:paraId="0A402D3A" w14:textId="77777777" w:rsidR="00486703" w:rsidRPr="00365074" w:rsidRDefault="00486703" w:rsidP="00367A98">
            <w:pPr>
              <w:widowControl/>
              <w:autoSpaceDE/>
              <w:autoSpaceDN/>
              <w:adjustRightInd/>
              <w:jc w:val="center"/>
              <w:rPr>
                <w:rFonts w:ascii="Times New Roman" w:hAnsi="Times New Roman" w:cs="Times New Roman"/>
                <w:b/>
                <w:bCs/>
                <w:sz w:val="18"/>
                <w:szCs w:val="18"/>
              </w:rPr>
            </w:pPr>
            <w:r w:rsidRPr="00365074">
              <w:rPr>
                <w:rFonts w:ascii="Times New Roman" w:hAnsi="Times New Roman" w:cs="Times New Roman"/>
                <w:b/>
                <w:bCs/>
                <w:sz w:val="18"/>
                <w:szCs w:val="18"/>
              </w:rPr>
              <w:t>28</w:t>
            </w:r>
          </w:p>
        </w:tc>
        <w:tc>
          <w:tcPr>
            <w:tcW w:w="0" w:type="auto"/>
            <w:tcBorders>
              <w:top w:val="single" w:sz="4" w:space="0" w:color="auto"/>
              <w:left w:val="nil"/>
              <w:bottom w:val="single" w:sz="4" w:space="0" w:color="auto"/>
              <w:right w:val="nil"/>
            </w:tcBorders>
            <w:shd w:val="clear" w:color="auto" w:fill="auto"/>
            <w:vAlign w:val="bottom"/>
            <w:hideMark/>
          </w:tcPr>
          <w:p w14:paraId="5B13BD3F" w14:textId="77777777" w:rsidR="00486703" w:rsidRPr="00365074" w:rsidRDefault="00486703" w:rsidP="00367A98">
            <w:pPr>
              <w:widowControl/>
              <w:autoSpaceDE/>
              <w:autoSpaceDN/>
              <w:adjustRightInd/>
              <w:jc w:val="center"/>
              <w:rPr>
                <w:rFonts w:ascii="Times New Roman" w:hAnsi="Times New Roman" w:cs="Times New Roman"/>
                <w:b/>
                <w:bCs/>
                <w:sz w:val="18"/>
                <w:szCs w:val="18"/>
              </w:rPr>
            </w:pPr>
            <w:r w:rsidRPr="00365074">
              <w:rPr>
                <w:rFonts w:ascii="Times New Roman" w:hAnsi="Times New Roman" w:cs="Times New Roman"/>
                <w:b/>
                <w:bCs/>
                <w:sz w:val="18"/>
                <w:szCs w:val="18"/>
              </w:rPr>
              <w:t>47</w:t>
            </w:r>
          </w:p>
        </w:tc>
        <w:tc>
          <w:tcPr>
            <w:tcW w:w="0" w:type="auto"/>
            <w:tcBorders>
              <w:top w:val="single" w:sz="4" w:space="0" w:color="auto"/>
              <w:left w:val="nil"/>
              <w:bottom w:val="single" w:sz="4" w:space="0" w:color="auto"/>
              <w:right w:val="nil"/>
            </w:tcBorders>
            <w:shd w:val="clear" w:color="auto" w:fill="auto"/>
            <w:vAlign w:val="bottom"/>
            <w:hideMark/>
          </w:tcPr>
          <w:p w14:paraId="1F4FF60D"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26</w:t>
            </w:r>
          </w:p>
        </w:tc>
        <w:tc>
          <w:tcPr>
            <w:tcW w:w="0" w:type="auto"/>
            <w:tcBorders>
              <w:top w:val="single" w:sz="4" w:space="0" w:color="auto"/>
              <w:left w:val="nil"/>
              <w:bottom w:val="single" w:sz="4" w:space="0" w:color="auto"/>
              <w:right w:val="nil"/>
            </w:tcBorders>
            <w:shd w:val="clear" w:color="auto" w:fill="auto"/>
            <w:vAlign w:val="bottom"/>
            <w:hideMark/>
          </w:tcPr>
          <w:p w14:paraId="599F143B" w14:textId="77777777" w:rsidR="00486703" w:rsidRPr="00C8275B" w:rsidRDefault="00486703" w:rsidP="00367A98">
            <w:pPr>
              <w:widowControl/>
              <w:autoSpaceDE/>
              <w:autoSpaceDN/>
              <w:adjustRightInd/>
              <w:jc w:val="center"/>
              <w:rPr>
                <w:rFonts w:ascii="Times New Roman" w:hAnsi="Times New Roman" w:cs="Times New Roman"/>
                <w:b/>
                <w:bCs/>
                <w:sz w:val="18"/>
                <w:szCs w:val="18"/>
              </w:rPr>
            </w:pPr>
            <w:r w:rsidRPr="00C8275B">
              <w:rPr>
                <w:rFonts w:ascii="Times New Roman" w:hAnsi="Times New Roman" w:cs="Times New Roman"/>
                <w:b/>
                <w:bCs/>
                <w:sz w:val="18"/>
                <w:szCs w:val="18"/>
              </w:rPr>
              <w:t>55</w:t>
            </w:r>
          </w:p>
        </w:tc>
      </w:tr>
    </w:tbl>
    <w:p w14:paraId="4FEAAA70" w14:textId="0458A157" w:rsidR="00CA203E" w:rsidRDefault="00CA203E" w:rsidP="00510D63">
      <w:pPr>
        <w:pStyle w:val="Default"/>
        <w:ind w:left="709"/>
        <w:jc w:val="both"/>
        <w:rPr>
          <w:rFonts w:ascii="Times New Roman" w:hAnsi="Times New Roman" w:cs="Times New Roman"/>
          <w:color w:val="0000FF"/>
          <w:spacing w:val="-3"/>
          <w:sz w:val="22"/>
          <w:szCs w:val="22"/>
          <w:lang w:val="es-ES_tradnl" w:eastAsia="es-ES_tradnl"/>
        </w:rPr>
      </w:pPr>
    </w:p>
    <w:p w14:paraId="57322B2B" w14:textId="77777777" w:rsidR="00486703" w:rsidRPr="00C8275B" w:rsidRDefault="00486703" w:rsidP="00510D63">
      <w:pPr>
        <w:pStyle w:val="Default"/>
        <w:ind w:left="709"/>
        <w:jc w:val="both"/>
        <w:rPr>
          <w:rFonts w:ascii="Times New Roman" w:hAnsi="Times New Roman" w:cs="Times New Roman"/>
          <w:color w:val="0000FF"/>
          <w:spacing w:val="-3"/>
          <w:sz w:val="22"/>
          <w:szCs w:val="22"/>
          <w:lang w:val="es-ES_tradnl" w:eastAsia="es-ES_tradnl"/>
        </w:rPr>
      </w:pPr>
    </w:p>
    <w:p w14:paraId="789965B9" w14:textId="53762BE5" w:rsidR="00510D63" w:rsidRPr="00F1129C" w:rsidRDefault="009E7FDA" w:rsidP="00510D63">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Los honorarios de los auditores </w:t>
      </w:r>
      <w:r w:rsidR="00296701">
        <w:rPr>
          <w:rFonts w:ascii="Times New Roman" w:hAnsi="Times New Roman" w:cs="Times New Roman"/>
          <w:color w:val="auto"/>
          <w:spacing w:val="-3"/>
          <w:sz w:val="22"/>
          <w:szCs w:val="22"/>
          <w:lang w:val="es-ES_tradnl" w:eastAsia="es-ES_tradnl"/>
        </w:rPr>
        <w:t>que constan en la cuenta de pérdidas y ganancias del presente ejercicio</w:t>
      </w:r>
      <w:r w:rsidRPr="00C8275B">
        <w:rPr>
          <w:rFonts w:ascii="Times New Roman" w:hAnsi="Times New Roman" w:cs="Times New Roman"/>
          <w:color w:val="auto"/>
          <w:spacing w:val="-3"/>
          <w:sz w:val="22"/>
          <w:szCs w:val="22"/>
          <w:lang w:val="es-ES_tradnl" w:eastAsia="es-ES_tradnl"/>
        </w:rPr>
        <w:t xml:space="preserve"> asc</w:t>
      </w:r>
      <w:r w:rsidR="00296701">
        <w:rPr>
          <w:rFonts w:ascii="Times New Roman" w:hAnsi="Times New Roman" w:cs="Times New Roman"/>
          <w:color w:val="auto"/>
          <w:spacing w:val="-3"/>
          <w:sz w:val="22"/>
          <w:szCs w:val="22"/>
          <w:lang w:val="es-ES_tradnl" w:eastAsia="es-ES_tradnl"/>
        </w:rPr>
        <w:t>ienden a</w:t>
      </w:r>
      <w:r w:rsidRPr="00C8275B">
        <w:rPr>
          <w:rFonts w:ascii="Times New Roman" w:hAnsi="Times New Roman" w:cs="Times New Roman"/>
          <w:color w:val="auto"/>
          <w:spacing w:val="-3"/>
          <w:sz w:val="22"/>
          <w:szCs w:val="22"/>
          <w:lang w:val="es-ES_tradnl" w:eastAsia="es-ES_tradnl"/>
        </w:rPr>
        <w:t xml:space="preserve"> </w:t>
      </w:r>
      <w:r w:rsidR="005723E7" w:rsidRPr="00C8275B">
        <w:rPr>
          <w:rFonts w:ascii="Times New Roman" w:hAnsi="Times New Roman" w:cs="Times New Roman"/>
          <w:color w:val="auto"/>
          <w:spacing w:val="-3"/>
          <w:sz w:val="22"/>
          <w:szCs w:val="22"/>
          <w:lang w:val="es-ES_tradnl" w:eastAsia="es-ES_tradnl"/>
        </w:rPr>
        <w:t>4</w:t>
      </w:r>
      <w:r w:rsidRPr="00C8275B">
        <w:rPr>
          <w:rFonts w:ascii="Times New Roman" w:hAnsi="Times New Roman" w:cs="Times New Roman"/>
          <w:color w:val="auto"/>
          <w:spacing w:val="-3"/>
          <w:sz w:val="22"/>
          <w:szCs w:val="22"/>
          <w:lang w:val="es-ES_tradnl" w:eastAsia="es-ES_tradnl"/>
        </w:rPr>
        <w:t>.</w:t>
      </w:r>
      <w:r w:rsidR="00873D29" w:rsidRPr="00C8275B">
        <w:rPr>
          <w:rFonts w:ascii="Times New Roman" w:hAnsi="Times New Roman" w:cs="Times New Roman"/>
          <w:color w:val="auto"/>
          <w:spacing w:val="-3"/>
          <w:sz w:val="22"/>
          <w:szCs w:val="22"/>
          <w:lang w:val="es-ES_tradnl" w:eastAsia="es-ES_tradnl"/>
        </w:rPr>
        <w:t>786</w:t>
      </w:r>
      <w:r w:rsidRPr="00C8275B">
        <w:rPr>
          <w:rFonts w:ascii="Times New Roman" w:hAnsi="Times New Roman" w:cs="Times New Roman"/>
          <w:color w:val="auto"/>
          <w:spacing w:val="-3"/>
          <w:sz w:val="22"/>
          <w:szCs w:val="22"/>
          <w:lang w:val="es-ES_tradnl" w:eastAsia="es-ES_tradnl"/>
        </w:rPr>
        <w:t>,</w:t>
      </w:r>
      <w:r w:rsidR="00873D29" w:rsidRPr="00C8275B">
        <w:rPr>
          <w:rFonts w:ascii="Times New Roman" w:hAnsi="Times New Roman" w:cs="Times New Roman"/>
          <w:color w:val="auto"/>
          <w:spacing w:val="-3"/>
          <w:sz w:val="22"/>
          <w:szCs w:val="22"/>
          <w:lang w:val="es-ES_tradnl" w:eastAsia="es-ES_tradnl"/>
        </w:rPr>
        <w:t>53</w:t>
      </w:r>
      <w:r w:rsidRPr="00C8275B">
        <w:rPr>
          <w:rFonts w:ascii="Times New Roman" w:hAnsi="Times New Roman" w:cs="Times New Roman"/>
          <w:color w:val="auto"/>
          <w:spacing w:val="-3"/>
          <w:sz w:val="22"/>
          <w:szCs w:val="22"/>
          <w:lang w:val="es-ES_tradnl" w:eastAsia="es-ES_tradnl"/>
        </w:rPr>
        <w:t xml:space="preserve"> euros y a</w:t>
      </w:r>
      <w:r w:rsidR="00296701">
        <w:rPr>
          <w:rFonts w:ascii="Times New Roman" w:hAnsi="Times New Roman" w:cs="Times New Roman"/>
          <w:color w:val="auto"/>
          <w:spacing w:val="-3"/>
          <w:sz w:val="22"/>
          <w:szCs w:val="22"/>
          <w:lang w:val="es-ES_tradnl" w:eastAsia="es-ES_tradnl"/>
        </w:rPr>
        <w:t>l importe de</w:t>
      </w:r>
      <w:r w:rsidRPr="00C8275B">
        <w:rPr>
          <w:rFonts w:ascii="Times New Roman" w:hAnsi="Times New Roman" w:cs="Times New Roman"/>
          <w:color w:val="auto"/>
          <w:spacing w:val="-3"/>
          <w:sz w:val="22"/>
          <w:szCs w:val="22"/>
          <w:lang w:val="es-ES_tradnl" w:eastAsia="es-ES_tradnl"/>
        </w:rPr>
        <w:t xml:space="preserve"> </w:t>
      </w:r>
      <w:r w:rsidR="005723E7" w:rsidRPr="00C8275B">
        <w:rPr>
          <w:rFonts w:ascii="Times New Roman" w:hAnsi="Times New Roman" w:cs="Times New Roman"/>
          <w:color w:val="auto"/>
          <w:spacing w:val="-3"/>
          <w:sz w:val="22"/>
          <w:szCs w:val="22"/>
          <w:lang w:val="es-ES_tradnl" w:eastAsia="es-ES_tradnl"/>
        </w:rPr>
        <w:t>4</w:t>
      </w:r>
      <w:r w:rsidR="00151E39" w:rsidRPr="00C8275B">
        <w:rPr>
          <w:rFonts w:ascii="Times New Roman" w:hAnsi="Times New Roman" w:cs="Times New Roman"/>
          <w:color w:val="auto"/>
          <w:spacing w:val="-3"/>
          <w:sz w:val="22"/>
          <w:szCs w:val="22"/>
          <w:lang w:val="es-ES_tradnl" w:eastAsia="es-ES_tradnl"/>
        </w:rPr>
        <w:t>.</w:t>
      </w:r>
      <w:r w:rsidR="005723E7" w:rsidRPr="00C8275B">
        <w:rPr>
          <w:rFonts w:ascii="Times New Roman" w:hAnsi="Times New Roman" w:cs="Times New Roman"/>
          <w:color w:val="auto"/>
          <w:spacing w:val="-3"/>
          <w:sz w:val="22"/>
          <w:szCs w:val="22"/>
          <w:lang w:val="es-ES_tradnl" w:eastAsia="es-ES_tradnl"/>
        </w:rPr>
        <w:t>296</w:t>
      </w:r>
      <w:r w:rsidR="00151E39" w:rsidRPr="00C8275B">
        <w:rPr>
          <w:rFonts w:ascii="Times New Roman" w:hAnsi="Times New Roman" w:cs="Times New Roman"/>
          <w:color w:val="auto"/>
          <w:spacing w:val="-3"/>
          <w:sz w:val="22"/>
          <w:szCs w:val="22"/>
          <w:lang w:val="es-ES_tradnl" w:eastAsia="es-ES_tradnl"/>
        </w:rPr>
        <w:t>,</w:t>
      </w:r>
      <w:r w:rsidR="005723E7" w:rsidRPr="00C8275B">
        <w:rPr>
          <w:rFonts w:ascii="Times New Roman" w:hAnsi="Times New Roman" w:cs="Times New Roman"/>
          <w:color w:val="auto"/>
          <w:spacing w:val="-3"/>
          <w:sz w:val="22"/>
          <w:szCs w:val="22"/>
          <w:lang w:val="es-ES_tradnl" w:eastAsia="es-ES_tradnl"/>
        </w:rPr>
        <w:t>0</w:t>
      </w:r>
      <w:r w:rsidR="00151E39" w:rsidRPr="00C8275B">
        <w:rPr>
          <w:rFonts w:ascii="Times New Roman" w:hAnsi="Times New Roman" w:cs="Times New Roman"/>
          <w:color w:val="auto"/>
          <w:spacing w:val="-3"/>
          <w:sz w:val="22"/>
          <w:szCs w:val="22"/>
          <w:lang w:val="es-ES_tradnl" w:eastAsia="es-ES_tradnl"/>
        </w:rPr>
        <w:t xml:space="preserve">0 </w:t>
      </w:r>
      <w:r w:rsidRPr="00C8275B">
        <w:rPr>
          <w:rFonts w:ascii="Times New Roman" w:hAnsi="Times New Roman" w:cs="Times New Roman"/>
          <w:color w:val="auto"/>
          <w:spacing w:val="-3"/>
          <w:sz w:val="22"/>
          <w:szCs w:val="22"/>
          <w:lang w:val="es-ES_tradnl" w:eastAsia="es-ES_tradnl"/>
        </w:rPr>
        <w:t xml:space="preserve">euros en el ejercicio anterior. </w:t>
      </w:r>
      <w:r w:rsidR="00510D63" w:rsidRPr="00C8275B">
        <w:rPr>
          <w:rFonts w:ascii="Times New Roman" w:hAnsi="Times New Roman" w:cs="Times New Roman"/>
          <w:color w:val="auto"/>
          <w:spacing w:val="-3"/>
          <w:sz w:val="22"/>
          <w:szCs w:val="22"/>
          <w:lang w:val="es-ES_tradnl" w:eastAsia="es-ES_tradnl"/>
        </w:rPr>
        <w:t xml:space="preserve">No se han facturado honorarios a la Sociedad por ninguna empresa del mismo grupo de la firma auditora, así como tampoco otras empresas en </w:t>
      </w:r>
      <w:r w:rsidR="00510D63" w:rsidRPr="00F1129C">
        <w:rPr>
          <w:rFonts w:ascii="Times New Roman" w:hAnsi="Times New Roman" w:cs="Times New Roman"/>
          <w:color w:val="auto"/>
          <w:spacing w:val="-3"/>
          <w:sz w:val="22"/>
          <w:szCs w:val="22"/>
          <w:lang w:val="es-ES_tradnl" w:eastAsia="es-ES_tradnl"/>
        </w:rPr>
        <w:t>las que la firma auditora o sus socios estén vinculados por propiedad común, gestión o control.</w:t>
      </w:r>
    </w:p>
    <w:p w14:paraId="2FE05EA6" w14:textId="77777777" w:rsidR="00510D63" w:rsidRPr="00F1129C" w:rsidRDefault="00510D63" w:rsidP="00510D63">
      <w:pPr>
        <w:pStyle w:val="Default"/>
        <w:ind w:left="709"/>
        <w:jc w:val="both"/>
        <w:rPr>
          <w:rFonts w:ascii="Times New Roman" w:hAnsi="Times New Roman" w:cs="Times New Roman"/>
          <w:color w:val="auto"/>
          <w:spacing w:val="-3"/>
          <w:sz w:val="22"/>
          <w:szCs w:val="22"/>
          <w:lang w:val="es-ES_tradnl" w:eastAsia="es-ES_tradnl"/>
        </w:rPr>
      </w:pPr>
    </w:p>
    <w:p w14:paraId="4D9BC445" w14:textId="77777777" w:rsidR="00510D63" w:rsidRPr="00F1129C" w:rsidRDefault="00510D63" w:rsidP="00F8206D">
      <w:pPr>
        <w:shd w:val="clear" w:color="auto" w:fill="FFFFFF"/>
        <w:ind w:left="709"/>
        <w:jc w:val="both"/>
        <w:rPr>
          <w:rFonts w:ascii="Times New Roman" w:hAnsi="Times New Roman" w:cs="Times New Roman"/>
          <w:spacing w:val="-4"/>
          <w:sz w:val="22"/>
          <w:szCs w:val="22"/>
          <w:lang w:val="es-ES_tradnl" w:eastAsia="es-ES_tradnl"/>
        </w:rPr>
      </w:pPr>
    </w:p>
    <w:p w14:paraId="6BC56D38" w14:textId="77777777" w:rsidR="009E7FDA" w:rsidRPr="00F1129C" w:rsidRDefault="009E7FDA" w:rsidP="009E7FDA">
      <w:pPr>
        <w:pStyle w:val="Default"/>
        <w:ind w:left="709"/>
        <w:jc w:val="both"/>
        <w:rPr>
          <w:rFonts w:ascii="Times New Roman" w:hAnsi="Times New Roman" w:cs="Times New Roman"/>
          <w:b/>
          <w:color w:val="auto"/>
          <w:spacing w:val="-3"/>
          <w:sz w:val="22"/>
          <w:szCs w:val="22"/>
          <w:u w:val="single"/>
          <w:lang w:val="es-ES_tradnl" w:eastAsia="es-ES_tradnl"/>
        </w:rPr>
      </w:pPr>
      <w:r w:rsidRPr="00F1129C">
        <w:rPr>
          <w:rFonts w:ascii="Times New Roman" w:hAnsi="Times New Roman" w:cs="Times New Roman"/>
          <w:b/>
          <w:color w:val="auto"/>
          <w:spacing w:val="-3"/>
          <w:sz w:val="22"/>
          <w:szCs w:val="22"/>
          <w:u w:val="single"/>
          <w:lang w:val="es-ES_tradnl" w:eastAsia="es-ES_tradnl"/>
        </w:rPr>
        <w:t>Información sobre los aplazamientos de pago efectuados a proveedores requerida por la Disposición Adicional tercera de la Ley 15/2010, de 5 de julio</w:t>
      </w:r>
    </w:p>
    <w:p w14:paraId="0FFBFB9A" w14:textId="77777777" w:rsidR="009E7FDA" w:rsidRPr="00F1129C"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14:paraId="50EFF8F8" w14:textId="77777777" w:rsidR="009E7FDA" w:rsidRPr="00F1129C" w:rsidRDefault="009E7FDA" w:rsidP="009E7FDA">
      <w:pPr>
        <w:pStyle w:val="Default"/>
        <w:ind w:left="709"/>
        <w:jc w:val="both"/>
        <w:rPr>
          <w:rFonts w:ascii="Times New Roman" w:hAnsi="Times New Roman" w:cs="Times New Roman"/>
          <w:color w:val="auto"/>
          <w:spacing w:val="-3"/>
          <w:sz w:val="22"/>
          <w:szCs w:val="22"/>
          <w:lang w:val="es-ES_tradnl" w:eastAsia="es-ES_tradnl"/>
        </w:rPr>
      </w:pPr>
      <w:bookmarkStart w:id="12" w:name="OLE_LINK66"/>
      <w:bookmarkStart w:id="13" w:name="OLE_LINK67"/>
      <w:r w:rsidRPr="00F1129C">
        <w:rPr>
          <w:rFonts w:ascii="Times New Roman" w:hAnsi="Times New Roman" w:cs="Times New Roman"/>
          <w:color w:val="auto"/>
          <w:spacing w:val="-3"/>
          <w:sz w:val="22"/>
          <w:szCs w:val="22"/>
          <w:lang w:val="es-ES_tradnl" w:eastAsia="es-ES_tradnl"/>
        </w:rPr>
        <w:t>En relación a la información requerida por la Disposición Adicional tercera de la Ley 15/2010, de 5 de julio y según la información exigida por la resolución de 29 de diciembre de 2010 del ICAC, se comunica lo siguiente:</w:t>
      </w:r>
      <w:bookmarkEnd w:id="12"/>
      <w:bookmarkEnd w:id="13"/>
    </w:p>
    <w:tbl>
      <w:tblPr>
        <w:tblW w:w="569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40"/>
        <w:gridCol w:w="1175"/>
        <w:gridCol w:w="1175"/>
      </w:tblGrid>
      <w:tr w:rsidR="00CB1623" w:rsidRPr="00CB1623" w14:paraId="0B7749E3" w14:textId="77777777" w:rsidTr="0066033A">
        <w:trPr>
          <w:trHeight w:val="300"/>
          <w:jc w:val="center"/>
        </w:trPr>
        <w:tc>
          <w:tcPr>
            <w:tcW w:w="3340" w:type="dxa"/>
            <w:vMerge w:val="restart"/>
            <w:tcBorders>
              <w:top w:val="single" w:sz="4" w:space="0" w:color="auto"/>
              <w:bottom w:val="nil"/>
            </w:tcBorders>
            <w:shd w:val="clear" w:color="auto" w:fill="FFFFFF" w:themeFill="background1"/>
            <w:noWrap/>
            <w:vAlign w:val="bottom"/>
            <w:hideMark/>
          </w:tcPr>
          <w:p w14:paraId="2718D3F5" w14:textId="77777777" w:rsidR="002545FD" w:rsidRPr="00CB1623" w:rsidRDefault="002545FD">
            <w:pPr>
              <w:rPr>
                <w:rFonts w:ascii="Times New Roman" w:hAnsi="Times New Roman" w:cs="Times New Roman"/>
                <w:sz w:val="18"/>
                <w:szCs w:val="18"/>
              </w:rPr>
            </w:pPr>
            <w:r w:rsidRPr="00CB1623">
              <w:rPr>
                <w:rFonts w:ascii="Times New Roman" w:hAnsi="Times New Roman" w:cs="Times New Roman"/>
                <w:sz w:val="18"/>
                <w:szCs w:val="18"/>
                <w:lang w:val="es-ES_tradnl"/>
              </w:rPr>
              <w:t> </w:t>
            </w:r>
          </w:p>
        </w:tc>
        <w:tc>
          <w:tcPr>
            <w:tcW w:w="1175" w:type="dxa"/>
            <w:tcBorders>
              <w:top w:val="single" w:sz="4" w:space="0" w:color="auto"/>
              <w:bottom w:val="nil"/>
            </w:tcBorders>
            <w:shd w:val="clear" w:color="auto" w:fill="FFFFFF" w:themeFill="background1"/>
            <w:noWrap/>
            <w:vAlign w:val="bottom"/>
            <w:hideMark/>
          </w:tcPr>
          <w:p w14:paraId="7E88129A" w14:textId="77777777" w:rsidR="002545FD" w:rsidRPr="00CB1623" w:rsidRDefault="002545FD" w:rsidP="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 xml:space="preserve">AÑO </w:t>
            </w:r>
            <w:r w:rsidR="00BC2580" w:rsidRPr="00CB1623">
              <w:rPr>
                <w:rFonts w:ascii="Times New Roman" w:hAnsi="Times New Roman" w:cs="Times New Roman"/>
                <w:b/>
                <w:bCs/>
                <w:sz w:val="18"/>
                <w:szCs w:val="18"/>
                <w:lang w:val="es-ES_tradnl"/>
              </w:rPr>
              <w:t>2022</w:t>
            </w:r>
          </w:p>
        </w:tc>
        <w:tc>
          <w:tcPr>
            <w:tcW w:w="1175" w:type="dxa"/>
            <w:tcBorders>
              <w:top w:val="single" w:sz="4" w:space="0" w:color="auto"/>
              <w:bottom w:val="nil"/>
            </w:tcBorders>
            <w:shd w:val="clear" w:color="auto" w:fill="FFFFFF" w:themeFill="background1"/>
            <w:noWrap/>
            <w:vAlign w:val="bottom"/>
            <w:hideMark/>
          </w:tcPr>
          <w:p w14:paraId="453E8B6A" w14:textId="77777777" w:rsidR="002545FD" w:rsidRPr="00CB1623" w:rsidRDefault="002545FD" w:rsidP="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 xml:space="preserve">AÑO </w:t>
            </w:r>
            <w:r w:rsidR="00BC2580" w:rsidRPr="00CB1623">
              <w:rPr>
                <w:rFonts w:ascii="Times New Roman" w:hAnsi="Times New Roman" w:cs="Times New Roman"/>
                <w:b/>
                <w:bCs/>
                <w:sz w:val="18"/>
                <w:szCs w:val="18"/>
                <w:lang w:val="es-ES_tradnl"/>
              </w:rPr>
              <w:t>2021</w:t>
            </w:r>
          </w:p>
        </w:tc>
      </w:tr>
      <w:tr w:rsidR="00CB1623" w:rsidRPr="00CB1623" w14:paraId="6B12A6E3" w14:textId="77777777" w:rsidTr="0066033A">
        <w:trPr>
          <w:trHeight w:val="300"/>
          <w:jc w:val="center"/>
        </w:trPr>
        <w:tc>
          <w:tcPr>
            <w:tcW w:w="3340" w:type="dxa"/>
            <w:vMerge/>
            <w:tcBorders>
              <w:top w:val="nil"/>
              <w:bottom w:val="single" w:sz="4" w:space="0" w:color="auto"/>
            </w:tcBorders>
            <w:shd w:val="clear" w:color="auto" w:fill="FFFFFF" w:themeFill="background1"/>
            <w:vAlign w:val="center"/>
            <w:hideMark/>
          </w:tcPr>
          <w:p w14:paraId="7A5A3DE9" w14:textId="77777777" w:rsidR="002545FD" w:rsidRPr="00CB1623" w:rsidRDefault="002545FD">
            <w:pPr>
              <w:rPr>
                <w:rFonts w:ascii="Times New Roman" w:hAnsi="Times New Roman" w:cs="Times New Roman"/>
                <w:sz w:val="18"/>
                <w:szCs w:val="18"/>
              </w:rPr>
            </w:pPr>
          </w:p>
        </w:tc>
        <w:tc>
          <w:tcPr>
            <w:tcW w:w="1175" w:type="dxa"/>
            <w:tcBorders>
              <w:top w:val="nil"/>
              <w:bottom w:val="single" w:sz="4" w:space="0" w:color="auto"/>
            </w:tcBorders>
            <w:shd w:val="clear" w:color="auto" w:fill="FFFFFF" w:themeFill="background1"/>
            <w:noWrap/>
            <w:vAlign w:val="bottom"/>
            <w:hideMark/>
          </w:tcPr>
          <w:p w14:paraId="7306198A" w14:textId="77777777" w:rsidR="002545FD" w:rsidRPr="00CB1623" w:rsidRDefault="002545FD">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DIAS</w:t>
            </w:r>
          </w:p>
        </w:tc>
        <w:tc>
          <w:tcPr>
            <w:tcW w:w="1175" w:type="dxa"/>
            <w:tcBorders>
              <w:top w:val="nil"/>
              <w:bottom w:val="single" w:sz="4" w:space="0" w:color="auto"/>
            </w:tcBorders>
            <w:shd w:val="clear" w:color="auto" w:fill="FFFFFF" w:themeFill="background1"/>
            <w:noWrap/>
            <w:vAlign w:val="bottom"/>
            <w:hideMark/>
          </w:tcPr>
          <w:p w14:paraId="4C0EB3C0" w14:textId="77777777" w:rsidR="002545FD" w:rsidRPr="00CB1623" w:rsidRDefault="002545FD">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DIAS</w:t>
            </w:r>
          </w:p>
        </w:tc>
      </w:tr>
      <w:tr w:rsidR="00CB1623" w:rsidRPr="00CB1623" w14:paraId="4905423B" w14:textId="77777777" w:rsidTr="0066033A">
        <w:trPr>
          <w:trHeight w:val="300"/>
          <w:jc w:val="center"/>
        </w:trPr>
        <w:tc>
          <w:tcPr>
            <w:tcW w:w="3340" w:type="dxa"/>
            <w:tcBorders>
              <w:top w:val="single" w:sz="4" w:space="0" w:color="auto"/>
            </w:tcBorders>
            <w:shd w:val="clear" w:color="auto" w:fill="auto"/>
            <w:noWrap/>
            <w:vAlign w:val="bottom"/>
            <w:hideMark/>
          </w:tcPr>
          <w:p w14:paraId="45994003"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Periodo medio de pago a proveedores</w:t>
            </w:r>
          </w:p>
        </w:tc>
        <w:tc>
          <w:tcPr>
            <w:tcW w:w="1175" w:type="dxa"/>
            <w:tcBorders>
              <w:top w:val="single" w:sz="4" w:space="0" w:color="auto"/>
            </w:tcBorders>
            <w:shd w:val="clear" w:color="auto" w:fill="auto"/>
            <w:noWrap/>
            <w:vAlign w:val="bottom"/>
            <w:hideMark/>
          </w:tcPr>
          <w:p w14:paraId="23397C26" w14:textId="4E8D3DEF" w:rsidR="00BC2580" w:rsidRPr="00CB1623" w:rsidRDefault="006B68D2">
            <w:pPr>
              <w:jc w:val="center"/>
              <w:rPr>
                <w:rFonts w:ascii="Times New Roman" w:hAnsi="Times New Roman" w:cs="Times New Roman"/>
                <w:sz w:val="18"/>
                <w:szCs w:val="18"/>
              </w:rPr>
            </w:pPr>
            <w:r>
              <w:rPr>
                <w:rFonts w:ascii="Times New Roman" w:hAnsi="Times New Roman" w:cs="Times New Roman"/>
                <w:sz w:val="18"/>
                <w:szCs w:val="18"/>
                <w:lang w:val="es-ES_tradnl"/>
              </w:rPr>
              <w:t>36</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13</w:t>
            </w:r>
          </w:p>
        </w:tc>
        <w:tc>
          <w:tcPr>
            <w:tcW w:w="1175" w:type="dxa"/>
            <w:tcBorders>
              <w:top w:val="single" w:sz="4" w:space="0" w:color="auto"/>
            </w:tcBorders>
            <w:shd w:val="clear" w:color="auto" w:fill="auto"/>
            <w:noWrap/>
            <w:vAlign w:val="bottom"/>
            <w:hideMark/>
          </w:tcPr>
          <w:p w14:paraId="6F5C7519"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51,94</w:t>
            </w:r>
          </w:p>
        </w:tc>
      </w:tr>
      <w:tr w:rsidR="00CB1623" w:rsidRPr="00CB1623" w14:paraId="0FBD5918" w14:textId="77777777" w:rsidTr="0066033A">
        <w:trPr>
          <w:trHeight w:val="300"/>
          <w:jc w:val="center"/>
        </w:trPr>
        <w:tc>
          <w:tcPr>
            <w:tcW w:w="3340" w:type="dxa"/>
            <w:shd w:val="clear" w:color="auto" w:fill="auto"/>
            <w:noWrap/>
            <w:vAlign w:val="bottom"/>
            <w:hideMark/>
          </w:tcPr>
          <w:p w14:paraId="69CABEE7"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Ratio de operaciones pagadas</w:t>
            </w:r>
          </w:p>
        </w:tc>
        <w:tc>
          <w:tcPr>
            <w:tcW w:w="1175" w:type="dxa"/>
            <w:shd w:val="clear" w:color="auto" w:fill="auto"/>
            <w:noWrap/>
            <w:vAlign w:val="bottom"/>
            <w:hideMark/>
          </w:tcPr>
          <w:p w14:paraId="220A8C38" w14:textId="27DA1C0D" w:rsidR="00BC2580" w:rsidRPr="00CB1623" w:rsidRDefault="006B68D2" w:rsidP="005723E7">
            <w:pPr>
              <w:jc w:val="center"/>
              <w:rPr>
                <w:rFonts w:ascii="Times New Roman" w:hAnsi="Times New Roman" w:cs="Times New Roman"/>
                <w:sz w:val="18"/>
                <w:szCs w:val="18"/>
              </w:rPr>
            </w:pPr>
            <w:r>
              <w:rPr>
                <w:rFonts w:ascii="Times New Roman" w:hAnsi="Times New Roman" w:cs="Times New Roman"/>
                <w:sz w:val="18"/>
                <w:szCs w:val="18"/>
                <w:lang w:val="es-ES_tradnl"/>
              </w:rPr>
              <w:t>49</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08</w:t>
            </w:r>
          </w:p>
        </w:tc>
        <w:tc>
          <w:tcPr>
            <w:tcW w:w="1175" w:type="dxa"/>
            <w:shd w:val="clear" w:color="auto" w:fill="auto"/>
            <w:noWrap/>
            <w:vAlign w:val="bottom"/>
            <w:hideMark/>
          </w:tcPr>
          <w:p w14:paraId="09B21431"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48,32</w:t>
            </w:r>
          </w:p>
        </w:tc>
      </w:tr>
      <w:tr w:rsidR="00CB1623" w:rsidRPr="00CB1623" w14:paraId="3D75CE14" w14:textId="77777777" w:rsidTr="0066033A">
        <w:trPr>
          <w:trHeight w:val="300"/>
          <w:jc w:val="center"/>
        </w:trPr>
        <w:tc>
          <w:tcPr>
            <w:tcW w:w="3340" w:type="dxa"/>
            <w:tcBorders>
              <w:bottom w:val="single" w:sz="4" w:space="0" w:color="auto"/>
            </w:tcBorders>
            <w:shd w:val="clear" w:color="auto" w:fill="auto"/>
            <w:noWrap/>
            <w:vAlign w:val="bottom"/>
            <w:hideMark/>
          </w:tcPr>
          <w:p w14:paraId="6E0FB785"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Ratio de operaciones pendientes de pago</w:t>
            </w:r>
          </w:p>
        </w:tc>
        <w:tc>
          <w:tcPr>
            <w:tcW w:w="1175" w:type="dxa"/>
            <w:tcBorders>
              <w:bottom w:val="single" w:sz="4" w:space="0" w:color="auto"/>
            </w:tcBorders>
            <w:shd w:val="clear" w:color="auto" w:fill="auto"/>
            <w:noWrap/>
            <w:vAlign w:val="bottom"/>
            <w:hideMark/>
          </w:tcPr>
          <w:p w14:paraId="6C00664B" w14:textId="54837A7C" w:rsidR="00BC2580" w:rsidRPr="00CB1623" w:rsidRDefault="006B68D2" w:rsidP="005723E7">
            <w:pPr>
              <w:jc w:val="center"/>
              <w:rPr>
                <w:rFonts w:ascii="Times New Roman" w:hAnsi="Times New Roman" w:cs="Times New Roman"/>
                <w:sz w:val="18"/>
                <w:szCs w:val="18"/>
              </w:rPr>
            </w:pPr>
            <w:r>
              <w:rPr>
                <w:rFonts w:ascii="Times New Roman" w:hAnsi="Times New Roman" w:cs="Times New Roman"/>
                <w:sz w:val="18"/>
                <w:szCs w:val="18"/>
                <w:lang w:val="es-ES_tradnl"/>
              </w:rPr>
              <w:t>32</w:t>
            </w:r>
            <w:r w:rsidR="00BC2580" w:rsidRPr="00CB1623">
              <w:rPr>
                <w:rFonts w:ascii="Times New Roman" w:hAnsi="Times New Roman" w:cs="Times New Roman"/>
                <w:sz w:val="18"/>
                <w:szCs w:val="18"/>
                <w:lang w:val="es-ES_tradnl"/>
              </w:rPr>
              <w:t>,</w:t>
            </w:r>
            <w:r>
              <w:rPr>
                <w:rFonts w:ascii="Times New Roman" w:hAnsi="Times New Roman" w:cs="Times New Roman"/>
                <w:sz w:val="18"/>
                <w:szCs w:val="18"/>
                <w:lang w:val="es-ES_tradnl"/>
              </w:rPr>
              <w:t>39</w:t>
            </w:r>
          </w:p>
        </w:tc>
        <w:tc>
          <w:tcPr>
            <w:tcW w:w="1175" w:type="dxa"/>
            <w:tcBorders>
              <w:bottom w:val="single" w:sz="4" w:space="0" w:color="auto"/>
            </w:tcBorders>
            <w:shd w:val="clear" w:color="auto" w:fill="auto"/>
            <w:noWrap/>
            <w:vAlign w:val="bottom"/>
            <w:hideMark/>
          </w:tcPr>
          <w:p w14:paraId="66614A8C" w14:textId="77777777"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5,77</w:t>
            </w:r>
          </w:p>
        </w:tc>
      </w:tr>
      <w:tr w:rsidR="00CB1623" w:rsidRPr="00CB1623" w14:paraId="35D9D6D5" w14:textId="77777777" w:rsidTr="0066033A">
        <w:trPr>
          <w:trHeight w:val="300"/>
          <w:jc w:val="center"/>
        </w:trPr>
        <w:tc>
          <w:tcPr>
            <w:tcW w:w="3340" w:type="dxa"/>
            <w:tcBorders>
              <w:top w:val="single" w:sz="4" w:space="0" w:color="auto"/>
              <w:bottom w:val="single" w:sz="4" w:space="0" w:color="auto"/>
            </w:tcBorders>
            <w:shd w:val="clear" w:color="000000" w:fill="FFFFFF"/>
            <w:noWrap/>
            <w:vAlign w:val="bottom"/>
            <w:hideMark/>
          </w:tcPr>
          <w:p w14:paraId="6B6F9A59" w14:textId="77777777" w:rsidR="00BC2580" w:rsidRPr="00CB1623" w:rsidRDefault="00BC2580">
            <w:pPr>
              <w:rPr>
                <w:rFonts w:ascii="Times New Roman" w:hAnsi="Times New Roman" w:cs="Times New Roman"/>
                <w:sz w:val="18"/>
                <w:szCs w:val="18"/>
              </w:rPr>
            </w:pPr>
            <w:r w:rsidRPr="00CB1623">
              <w:rPr>
                <w:rFonts w:ascii="Times New Roman" w:hAnsi="Times New Roman" w:cs="Times New Roman"/>
                <w:sz w:val="18"/>
                <w:szCs w:val="18"/>
                <w:lang w:val="es-ES_tradnl"/>
              </w:rPr>
              <w:t> </w:t>
            </w:r>
          </w:p>
        </w:tc>
        <w:tc>
          <w:tcPr>
            <w:tcW w:w="1175" w:type="dxa"/>
            <w:tcBorders>
              <w:top w:val="single" w:sz="4" w:space="0" w:color="auto"/>
              <w:bottom w:val="single" w:sz="4" w:space="0" w:color="auto"/>
            </w:tcBorders>
            <w:shd w:val="clear" w:color="auto" w:fill="auto"/>
            <w:noWrap/>
            <w:vAlign w:val="bottom"/>
            <w:hideMark/>
          </w:tcPr>
          <w:p w14:paraId="3381344E" w14:textId="77777777" w:rsidR="00BC2580" w:rsidRPr="00CB1623" w:rsidRDefault="00BC2580">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IMPORTE</w:t>
            </w:r>
          </w:p>
        </w:tc>
        <w:tc>
          <w:tcPr>
            <w:tcW w:w="1175" w:type="dxa"/>
            <w:tcBorders>
              <w:top w:val="single" w:sz="4" w:space="0" w:color="auto"/>
              <w:bottom w:val="single" w:sz="4" w:space="0" w:color="auto"/>
            </w:tcBorders>
            <w:shd w:val="clear" w:color="auto" w:fill="auto"/>
            <w:noWrap/>
            <w:vAlign w:val="bottom"/>
            <w:hideMark/>
          </w:tcPr>
          <w:p w14:paraId="7EC0646E" w14:textId="77777777" w:rsidR="00BC2580" w:rsidRPr="00CB1623" w:rsidRDefault="00BC2580" w:rsidP="00682699">
            <w:pPr>
              <w:jc w:val="center"/>
              <w:rPr>
                <w:rFonts w:ascii="Times New Roman" w:hAnsi="Times New Roman" w:cs="Times New Roman"/>
                <w:b/>
                <w:bCs/>
                <w:sz w:val="18"/>
                <w:szCs w:val="18"/>
              </w:rPr>
            </w:pPr>
            <w:r w:rsidRPr="00CB1623">
              <w:rPr>
                <w:rFonts w:ascii="Times New Roman" w:hAnsi="Times New Roman" w:cs="Times New Roman"/>
                <w:b/>
                <w:bCs/>
                <w:sz w:val="18"/>
                <w:szCs w:val="18"/>
                <w:lang w:val="es-ES_tradnl"/>
              </w:rPr>
              <w:t>IMPORTE</w:t>
            </w:r>
          </w:p>
        </w:tc>
      </w:tr>
      <w:tr w:rsidR="00CB1623" w:rsidRPr="00CB1623" w14:paraId="1213124B" w14:textId="77777777" w:rsidTr="0066033A">
        <w:trPr>
          <w:trHeight w:val="300"/>
          <w:jc w:val="center"/>
        </w:trPr>
        <w:tc>
          <w:tcPr>
            <w:tcW w:w="3340" w:type="dxa"/>
            <w:tcBorders>
              <w:top w:val="single" w:sz="4" w:space="0" w:color="auto"/>
            </w:tcBorders>
            <w:shd w:val="clear" w:color="auto" w:fill="auto"/>
            <w:noWrap/>
            <w:vAlign w:val="bottom"/>
            <w:hideMark/>
          </w:tcPr>
          <w:p w14:paraId="0113816C" w14:textId="77777777" w:rsidR="00BC2580" w:rsidRPr="00CB1623" w:rsidRDefault="00BC2580">
            <w:pPr>
              <w:rPr>
                <w:rFonts w:ascii="Times New Roman" w:hAnsi="Times New Roman" w:cs="Times New Roman"/>
                <w:sz w:val="18"/>
                <w:szCs w:val="18"/>
              </w:rPr>
            </w:pPr>
            <w:proofErr w:type="gramStart"/>
            <w:r w:rsidRPr="00CB1623">
              <w:rPr>
                <w:rFonts w:ascii="Times New Roman" w:hAnsi="Times New Roman" w:cs="Times New Roman"/>
                <w:sz w:val="18"/>
                <w:szCs w:val="18"/>
                <w:lang w:val="es-ES_tradnl"/>
              </w:rPr>
              <w:t>Total</w:t>
            </w:r>
            <w:proofErr w:type="gramEnd"/>
            <w:r w:rsidRPr="00CB1623">
              <w:rPr>
                <w:rFonts w:ascii="Times New Roman" w:hAnsi="Times New Roman" w:cs="Times New Roman"/>
                <w:sz w:val="18"/>
                <w:szCs w:val="18"/>
                <w:lang w:val="es-ES_tradnl"/>
              </w:rPr>
              <w:t xml:space="preserve"> pagos realizados</w:t>
            </w:r>
          </w:p>
        </w:tc>
        <w:tc>
          <w:tcPr>
            <w:tcW w:w="1175" w:type="dxa"/>
            <w:tcBorders>
              <w:top w:val="single" w:sz="4" w:space="0" w:color="auto"/>
            </w:tcBorders>
            <w:shd w:val="clear" w:color="auto" w:fill="auto"/>
            <w:noWrap/>
            <w:vAlign w:val="bottom"/>
            <w:hideMark/>
          </w:tcPr>
          <w:p w14:paraId="6458D01E" w14:textId="7B82BBFA" w:rsidR="00BC2580" w:rsidRPr="00CB1623" w:rsidRDefault="00BC2580" w:rsidP="005723E7">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w:t>
            </w:r>
            <w:r w:rsidR="00CB1623" w:rsidRPr="00CB1623">
              <w:rPr>
                <w:rFonts w:ascii="Times New Roman" w:hAnsi="Times New Roman" w:cs="Times New Roman"/>
                <w:sz w:val="18"/>
                <w:szCs w:val="18"/>
                <w:lang w:val="es-ES_tradnl"/>
              </w:rPr>
              <w:t>2.</w:t>
            </w:r>
            <w:r w:rsidR="006B68D2">
              <w:rPr>
                <w:rFonts w:ascii="Times New Roman" w:hAnsi="Times New Roman" w:cs="Times New Roman"/>
                <w:sz w:val="18"/>
                <w:szCs w:val="18"/>
                <w:lang w:val="es-ES_tradnl"/>
              </w:rPr>
              <w:t>548</w:t>
            </w:r>
            <w:r w:rsidRPr="00CB1623">
              <w:rPr>
                <w:rFonts w:ascii="Times New Roman" w:hAnsi="Times New Roman" w:cs="Times New Roman"/>
                <w:sz w:val="18"/>
                <w:szCs w:val="18"/>
                <w:lang w:val="es-ES_tradnl"/>
              </w:rPr>
              <w:t>.</w:t>
            </w:r>
            <w:r w:rsidR="006B68D2">
              <w:rPr>
                <w:rFonts w:ascii="Times New Roman" w:hAnsi="Times New Roman" w:cs="Times New Roman"/>
                <w:sz w:val="18"/>
                <w:szCs w:val="18"/>
                <w:lang w:val="es-ES_tradnl"/>
              </w:rPr>
              <w:t>402</w:t>
            </w:r>
            <w:r w:rsidR="00CB1623" w:rsidRPr="00CB1623">
              <w:rPr>
                <w:rFonts w:ascii="Times New Roman" w:hAnsi="Times New Roman" w:cs="Times New Roman"/>
                <w:sz w:val="18"/>
                <w:szCs w:val="18"/>
                <w:lang w:val="es-ES_tradnl"/>
              </w:rPr>
              <w:t>,</w:t>
            </w:r>
            <w:r w:rsidR="006B68D2">
              <w:rPr>
                <w:rFonts w:ascii="Times New Roman" w:hAnsi="Times New Roman" w:cs="Times New Roman"/>
                <w:sz w:val="18"/>
                <w:szCs w:val="18"/>
                <w:lang w:val="es-ES_tradnl"/>
              </w:rPr>
              <w:t>10</w:t>
            </w:r>
          </w:p>
        </w:tc>
        <w:tc>
          <w:tcPr>
            <w:tcW w:w="1175" w:type="dxa"/>
            <w:tcBorders>
              <w:top w:val="single" w:sz="4" w:space="0" w:color="auto"/>
            </w:tcBorders>
            <w:shd w:val="clear" w:color="auto" w:fill="auto"/>
            <w:noWrap/>
            <w:vAlign w:val="bottom"/>
            <w:hideMark/>
          </w:tcPr>
          <w:p w14:paraId="3E34FE78" w14:textId="169633A4"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11.564.311</w:t>
            </w:r>
            <w:r w:rsidR="00CB1623" w:rsidRPr="00CB1623">
              <w:rPr>
                <w:rFonts w:ascii="Times New Roman" w:hAnsi="Times New Roman" w:cs="Times New Roman"/>
                <w:sz w:val="18"/>
                <w:szCs w:val="18"/>
                <w:lang w:val="es-ES_tradnl"/>
              </w:rPr>
              <w:t>,27</w:t>
            </w:r>
          </w:p>
        </w:tc>
      </w:tr>
      <w:tr w:rsidR="00CB1623" w:rsidRPr="00CB1623" w14:paraId="76B0C5C3" w14:textId="77777777" w:rsidTr="0066033A">
        <w:trPr>
          <w:trHeight w:val="300"/>
          <w:jc w:val="center"/>
        </w:trPr>
        <w:tc>
          <w:tcPr>
            <w:tcW w:w="3340" w:type="dxa"/>
            <w:shd w:val="clear" w:color="auto" w:fill="auto"/>
            <w:noWrap/>
            <w:vAlign w:val="bottom"/>
            <w:hideMark/>
          </w:tcPr>
          <w:p w14:paraId="00B192C7" w14:textId="77777777" w:rsidR="00BC2580" w:rsidRPr="00CB1623" w:rsidRDefault="00BC2580">
            <w:pPr>
              <w:rPr>
                <w:rFonts w:ascii="Times New Roman" w:hAnsi="Times New Roman" w:cs="Times New Roman"/>
                <w:sz w:val="18"/>
                <w:szCs w:val="18"/>
              </w:rPr>
            </w:pPr>
            <w:proofErr w:type="gramStart"/>
            <w:r w:rsidRPr="00CB1623">
              <w:rPr>
                <w:rFonts w:ascii="Times New Roman" w:hAnsi="Times New Roman" w:cs="Times New Roman"/>
                <w:sz w:val="18"/>
                <w:szCs w:val="18"/>
                <w:lang w:val="es-ES_tradnl"/>
              </w:rPr>
              <w:t>Total</w:t>
            </w:r>
            <w:proofErr w:type="gramEnd"/>
            <w:r w:rsidRPr="00CB1623">
              <w:rPr>
                <w:rFonts w:ascii="Times New Roman" w:hAnsi="Times New Roman" w:cs="Times New Roman"/>
                <w:sz w:val="18"/>
                <w:szCs w:val="18"/>
                <w:lang w:val="es-ES_tradnl"/>
              </w:rPr>
              <w:t xml:space="preserve"> pagos pendientes</w:t>
            </w:r>
          </w:p>
        </w:tc>
        <w:tc>
          <w:tcPr>
            <w:tcW w:w="1175" w:type="dxa"/>
            <w:shd w:val="clear" w:color="auto" w:fill="auto"/>
            <w:noWrap/>
            <w:vAlign w:val="bottom"/>
            <w:hideMark/>
          </w:tcPr>
          <w:p w14:paraId="3758935E" w14:textId="477C6147" w:rsidR="00BC2580" w:rsidRPr="00CB1623" w:rsidRDefault="00CB1623">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4</w:t>
            </w:r>
            <w:r w:rsidR="00BC2580" w:rsidRPr="00CB1623">
              <w:rPr>
                <w:rFonts w:ascii="Times New Roman" w:hAnsi="Times New Roman" w:cs="Times New Roman"/>
                <w:sz w:val="18"/>
                <w:szCs w:val="18"/>
                <w:lang w:val="es-ES_tradnl"/>
              </w:rPr>
              <w:t>.</w:t>
            </w:r>
            <w:r w:rsidRPr="00CB1623">
              <w:rPr>
                <w:rFonts w:ascii="Times New Roman" w:hAnsi="Times New Roman" w:cs="Times New Roman"/>
                <w:sz w:val="18"/>
                <w:szCs w:val="18"/>
                <w:lang w:val="es-ES_tradnl"/>
              </w:rPr>
              <w:t>879</w:t>
            </w:r>
            <w:r w:rsidR="00BC2580" w:rsidRPr="00CB1623">
              <w:rPr>
                <w:rFonts w:ascii="Times New Roman" w:hAnsi="Times New Roman" w:cs="Times New Roman"/>
                <w:sz w:val="18"/>
                <w:szCs w:val="18"/>
                <w:lang w:val="es-ES_tradnl"/>
              </w:rPr>
              <w:t>.</w:t>
            </w:r>
            <w:r w:rsidRPr="00CB1623">
              <w:rPr>
                <w:rFonts w:ascii="Times New Roman" w:hAnsi="Times New Roman" w:cs="Times New Roman"/>
                <w:sz w:val="18"/>
                <w:szCs w:val="18"/>
                <w:lang w:val="es-ES_tradnl"/>
              </w:rPr>
              <w:t>735,25</w:t>
            </w:r>
          </w:p>
        </w:tc>
        <w:tc>
          <w:tcPr>
            <w:tcW w:w="1175" w:type="dxa"/>
            <w:shd w:val="clear" w:color="auto" w:fill="auto"/>
            <w:noWrap/>
            <w:vAlign w:val="bottom"/>
            <w:hideMark/>
          </w:tcPr>
          <w:p w14:paraId="5C1A4408" w14:textId="7F45C1E4" w:rsidR="00BC2580" w:rsidRPr="00CB1623" w:rsidRDefault="00BC2580" w:rsidP="00682699">
            <w:pPr>
              <w:jc w:val="center"/>
              <w:rPr>
                <w:rFonts w:ascii="Times New Roman" w:hAnsi="Times New Roman" w:cs="Times New Roman"/>
                <w:sz w:val="18"/>
                <w:szCs w:val="18"/>
              </w:rPr>
            </w:pPr>
            <w:r w:rsidRPr="00CB1623">
              <w:rPr>
                <w:rFonts w:ascii="Times New Roman" w:hAnsi="Times New Roman" w:cs="Times New Roman"/>
                <w:sz w:val="18"/>
                <w:szCs w:val="18"/>
                <w:lang w:val="es-ES_tradnl"/>
              </w:rPr>
              <w:t>1.380.654</w:t>
            </w:r>
            <w:r w:rsidR="00CB1623" w:rsidRPr="00CB1623">
              <w:rPr>
                <w:rFonts w:ascii="Times New Roman" w:hAnsi="Times New Roman" w:cs="Times New Roman"/>
                <w:sz w:val="18"/>
                <w:szCs w:val="18"/>
                <w:lang w:val="es-ES_tradnl"/>
              </w:rPr>
              <w:t>,83</w:t>
            </w:r>
          </w:p>
        </w:tc>
      </w:tr>
    </w:tbl>
    <w:p w14:paraId="769FC864" w14:textId="77777777" w:rsidR="009E7FDA" w:rsidRPr="00C8275B" w:rsidRDefault="009E7FDA"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2BC56A17" w14:textId="77777777" w:rsidR="001876C5" w:rsidRDefault="001876C5" w:rsidP="009E7FDA">
      <w:pPr>
        <w:pStyle w:val="Default"/>
        <w:ind w:left="709"/>
        <w:jc w:val="both"/>
        <w:rPr>
          <w:rFonts w:ascii="Times New Roman" w:hAnsi="Times New Roman" w:cs="Times New Roman"/>
          <w:color w:val="auto"/>
          <w:spacing w:val="-3"/>
          <w:sz w:val="22"/>
          <w:szCs w:val="22"/>
          <w:lang w:val="es-ES_tradnl" w:eastAsia="es-ES_tradnl"/>
        </w:rPr>
      </w:pPr>
      <w:bookmarkStart w:id="14" w:name="_Hlk129695934"/>
    </w:p>
    <w:p w14:paraId="3E4023CA" w14:textId="77777777" w:rsidR="0070062A" w:rsidRDefault="0070062A" w:rsidP="009E7FDA">
      <w:pPr>
        <w:pStyle w:val="Default"/>
        <w:ind w:left="709"/>
        <w:jc w:val="both"/>
        <w:rPr>
          <w:rFonts w:ascii="Times New Roman" w:hAnsi="Times New Roman" w:cs="Times New Roman"/>
          <w:color w:val="auto"/>
          <w:spacing w:val="-3"/>
          <w:sz w:val="22"/>
          <w:szCs w:val="22"/>
          <w:lang w:val="es-ES_tradnl" w:eastAsia="es-ES_tradnl"/>
        </w:rPr>
      </w:pPr>
    </w:p>
    <w:p w14:paraId="6AD79C96" w14:textId="5C2338FA" w:rsidR="005C4F30" w:rsidRPr="006B68D2" w:rsidRDefault="006C3CB4" w:rsidP="009E7FDA">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 xml:space="preserve">El período medio de pago a proveedores anteriormente detallado se </w:t>
      </w:r>
      <w:r w:rsidR="00EF2A6A" w:rsidRPr="00C8275B">
        <w:rPr>
          <w:rFonts w:ascii="Times New Roman" w:hAnsi="Times New Roman" w:cs="Times New Roman"/>
          <w:color w:val="auto"/>
          <w:spacing w:val="-3"/>
          <w:sz w:val="22"/>
          <w:szCs w:val="22"/>
          <w:lang w:val="es-ES_tradnl" w:eastAsia="es-ES_tradnl"/>
        </w:rPr>
        <w:t xml:space="preserve">ha </w:t>
      </w:r>
      <w:r w:rsidRPr="00C8275B">
        <w:rPr>
          <w:rFonts w:ascii="Times New Roman" w:hAnsi="Times New Roman" w:cs="Times New Roman"/>
          <w:color w:val="auto"/>
          <w:spacing w:val="-3"/>
          <w:sz w:val="22"/>
          <w:szCs w:val="22"/>
          <w:lang w:val="es-ES_tradnl" w:eastAsia="es-ES_tradnl"/>
        </w:rPr>
        <w:t xml:space="preserve">calculado conforme a la Resolución de 29 de enero de 2016 del Instituto de Contabilidad y Auditoría de Cuentas para las sociedades mercantiles que formulan sus cuentas en el modelo normal de la Memoria, y tiene un carácter anual; el cual difiere del que la entidad reporta al órgano municipal respectivo que tiene un carácter mensual y que el referido a Diciembre de </w:t>
      </w:r>
      <w:r w:rsidR="00E015AA" w:rsidRPr="00C8275B">
        <w:rPr>
          <w:rFonts w:ascii="Times New Roman" w:hAnsi="Times New Roman" w:cs="Times New Roman"/>
          <w:color w:val="auto"/>
          <w:spacing w:val="-3"/>
          <w:sz w:val="22"/>
          <w:szCs w:val="22"/>
          <w:lang w:val="es-ES_tradnl" w:eastAsia="es-ES_tradnl"/>
        </w:rPr>
        <w:t>2022</w:t>
      </w:r>
      <w:r w:rsidRPr="00C8275B">
        <w:rPr>
          <w:rFonts w:ascii="Times New Roman" w:hAnsi="Times New Roman" w:cs="Times New Roman"/>
          <w:color w:val="auto"/>
          <w:spacing w:val="-3"/>
          <w:sz w:val="22"/>
          <w:szCs w:val="22"/>
          <w:lang w:val="es-ES_tradnl" w:eastAsia="es-ES_tradnl"/>
        </w:rPr>
        <w:t xml:space="preserve"> </w:t>
      </w:r>
      <w:r w:rsidRPr="006B68D2">
        <w:rPr>
          <w:rFonts w:ascii="Times New Roman" w:hAnsi="Times New Roman" w:cs="Times New Roman"/>
          <w:color w:val="auto"/>
          <w:spacing w:val="-3"/>
          <w:sz w:val="22"/>
          <w:szCs w:val="22"/>
          <w:lang w:val="es-ES_tradnl" w:eastAsia="es-ES_tradnl"/>
        </w:rPr>
        <w:t>reportó un período m</w:t>
      </w:r>
      <w:r w:rsidR="005C6C96" w:rsidRPr="006B68D2">
        <w:rPr>
          <w:rFonts w:ascii="Times New Roman" w:hAnsi="Times New Roman" w:cs="Times New Roman"/>
          <w:color w:val="auto"/>
          <w:spacing w:val="-3"/>
          <w:sz w:val="22"/>
          <w:szCs w:val="22"/>
          <w:lang w:val="es-ES_tradnl" w:eastAsia="es-ES_tradnl"/>
        </w:rPr>
        <w:t xml:space="preserve">edio de pago de dicho mes de </w:t>
      </w:r>
      <w:r w:rsidR="00714C61" w:rsidRPr="006B68D2">
        <w:rPr>
          <w:rFonts w:ascii="Times New Roman" w:hAnsi="Times New Roman" w:cs="Times New Roman"/>
          <w:color w:val="auto"/>
          <w:spacing w:val="-3"/>
          <w:sz w:val="22"/>
          <w:szCs w:val="22"/>
          <w:lang w:val="es-ES_tradnl" w:eastAsia="es-ES_tradnl"/>
        </w:rPr>
        <w:t>36,13</w:t>
      </w:r>
      <w:r w:rsidRPr="006B68D2">
        <w:rPr>
          <w:rFonts w:ascii="Times New Roman" w:hAnsi="Times New Roman" w:cs="Times New Roman"/>
          <w:color w:val="auto"/>
          <w:spacing w:val="-3"/>
          <w:sz w:val="22"/>
          <w:szCs w:val="22"/>
          <w:lang w:val="es-ES_tradnl" w:eastAsia="es-ES_tradnl"/>
        </w:rPr>
        <w:t xml:space="preserve"> </w:t>
      </w:r>
      <w:r w:rsidR="00115E1C" w:rsidRPr="006B68D2">
        <w:rPr>
          <w:rFonts w:ascii="Times New Roman" w:hAnsi="Times New Roman" w:cs="Times New Roman"/>
          <w:color w:val="auto"/>
          <w:spacing w:val="-3"/>
          <w:sz w:val="22"/>
          <w:szCs w:val="22"/>
          <w:lang w:val="es-ES_tradnl" w:eastAsia="es-ES_tradnl"/>
        </w:rPr>
        <w:t>días</w:t>
      </w:r>
      <w:r w:rsidRPr="006B68D2">
        <w:rPr>
          <w:rFonts w:ascii="Times New Roman" w:hAnsi="Times New Roman" w:cs="Times New Roman"/>
          <w:color w:val="auto"/>
          <w:spacing w:val="-3"/>
          <w:sz w:val="22"/>
          <w:szCs w:val="22"/>
          <w:lang w:val="es-ES_tradnl" w:eastAsia="es-ES_tradnl"/>
        </w:rPr>
        <w:t>.</w:t>
      </w:r>
    </w:p>
    <w:bookmarkEnd w:id="14"/>
    <w:p w14:paraId="6C9F14DC" w14:textId="104F65FA" w:rsidR="005C4F30" w:rsidRPr="006B68D2" w:rsidRDefault="005C4F30" w:rsidP="009E7FDA">
      <w:pPr>
        <w:pStyle w:val="Default"/>
        <w:ind w:left="709"/>
        <w:jc w:val="both"/>
        <w:rPr>
          <w:rFonts w:ascii="Times New Roman" w:hAnsi="Times New Roman" w:cs="Times New Roman"/>
          <w:color w:val="auto"/>
          <w:spacing w:val="-3"/>
          <w:sz w:val="22"/>
          <w:szCs w:val="22"/>
          <w:lang w:val="es-ES_tradnl" w:eastAsia="es-ES_tradnl"/>
        </w:rPr>
      </w:pPr>
    </w:p>
    <w:p w14:paraId="2DF02B31" w14:textId="76C5F564" w:rsidR="005C4F30" w:rsidRPr="006B68D2" w:rsidRDefault="001876C5" w:rsidP="009E7FDA">
      <w:pPr>
        <w:pStyle w:val="Default"/>
        <w:ind w:left="709"/>
        <w:jc w:val="both"/>
        <w:rPr>
          <w:rFonts w:ascii="Times New Roman" w:hAnsi="Times New Roman" w:cs="Times New Roman"/>
          <w:color w:val="auto"/>
          <w:spacing w:val="-3"/>
          <w:sz w:val="22"/>
          <w:szCs w:val="22"/>
          <w:lang w:val="es-ES_tradnl" w:eastAsia="es-ES_tradnl"/>
        </w:rPr>
      </w:pPr>
      <w:r w:rsidRPr="006B68D2">
        <w:rPr>
          <w:rFonts w:ascii="Times New Roman" w:hAnsi="Times New Roman" w:cs="Times New Roman"/>
          <w:color w:val="auto"/>
          <w:spacing w:val="-3"/>
          <w:sz w:val="22"/>
          <w:szCs w:val="22"/>
          <w:lang w:val="es-ES_tradnl" w:eastAsia="es-ES_tradnl"/>
        </w:rPr>
        <w:t>El volumen monetario y número de facturas pagadas en un período inferior al máximo establecido en la normativa de morosidad y el porcentaje que suponen sobre el número total de facturas y sobre el total monetario de los pagos a sus proveedores es el siguiente:</w:t>
      </w:r>
    </w:p>
    <w:p w14:paraId="2363E34F" w14:textId="4A14096B" w:rsidR="001876C5" w:rsidRPr="006B68D2" w:rsidRDefault="001876C5" w:rsidP="009E7FDA">
      <w:pPr>
        <w:pStyle w:val="Default"/>
        <w:ind w:left="709"/>
        <w:jc w:val="both"/>
        <w:rPr>
          <w:rFonts w:ascii="Times New Roman" w:hAnsi="Times New Roman" w:cs="Times New Roman"/>
          <w:color w:val="auto"/>
          <w:spacing w:val="-3"/>
          <w:sz w:val="22"/>
          <w:szCs w:val="22"/>
          <w:lang w:val="es-ES_tradnl" w:eastAsia="es-ES_tradnl"/>
        </w:rPr>
      </w:pPr>
    </w:p>
    <w:tbl>
      <w:tblPr>
        <w:tblW w:w="6852" w:type="dxa"/>
        <w:jc w:val="center"/>
        <w:tblCellSpacing w:w="20" w:type="dxa"/>
        <w:tblBorders>
          <w:top w:val="single" w:sz="6" w:space="0" w:color="auto"/>
          <w:left w:val="single" w:sz="6" w:space="0" w:color="FFFFFF" w:themeColor="background1"/>
          <w:bottom w:val="single" w:sz="6" w:space="0" w:color="auto"/>
          <w:right w:val="single" w:sz="6" w:space="0" w:color="FFFFFF" w:themeColor="background1"/>
        </w:tblBorders>
        <w:tblCellMar>
          <w:left w:w="70" w:type="dxa"/>
          <w:right w:w="70" w:type="dxa"/>
        </w:tblCellMar>
        <w:tblLook w:val="04A0" w:firstRow="1" w:lastRow="0" w:firstColumn="1" w:lastColumn="0" w:noHBand="0" w:noVBand="1"/>
      </w:tblPr>
      <w:tblGrid>
        <w:gridCol w:w="5107"/>
        <w:gridCol w:w="1125"/>
        <w:gridCol w:w="620"/>
      </w:tblGrid>
      <w:tr w:rsidR="006B68D2" w:rsidRPr="0041149E" w14:paraId="52C51EB2" w14:textId="77777777" w:rsidTr="000B6271">
        <w:trPr>
          <w:trHeight w:val="331"/>
          <w:tblCellSpacing w:w="20" w:type="dxa"/>
          <w:jc w:val="center"/>
        </w:trPr>
        <w:tc>
          <w:tcPr>
            <w:tcW w:w="0" w:type="auto"/>
            <w:tcBorders>
              <w:top w:val="single" w:sz="6" w:space="0" w:color="FFFFFF" w:themeColor="background1"/>
              <w:bottom w:val="single" w:sz="6" w:space="0" w:color="auto"/>
            </w:tcBorders>
            <w:shd w:val="clear" w:color="000000" w:fill="FFFFFF"/>
            <w:vAlign w:val="center"/>
            <w:hideMark/>
          </w:tcPr>
          <w:p w14:paraId="51D8694A" w14:textId="2CA31F94" w:rsidR="006B68D2" w:rsidRPr="0041149E" w:rsidRDefault="006B68D2" w:rsidP="001876C5">
            <w:pPr>
              <w:widowControl/>
              <w:autoSpaceDE/>
              <w:autoSpaceDN/>
              <w:adjustRightInd/>
              <w:rPr>
                <w:rFonts w:ascii="Times New Roman" w:hAnsi="Times New Roman" w:cs="Times New Roman"/>
                <w:b/>
                <w:bCs/>
                <w:sz w:val="18"/>
                <w:szCs w:val="18"/>
              </w:rPr>
            </w:pPr>
            <w:r w:rsidRPr="0041149E">
              <w:rPr>
                <w:rFonts w:ascii="Times New Roman" w:hAnsi="Times New Roman" w:cs="Times New Roman"/>
                <w:b/>
                <w:bCs/>
                <w:sz w:val="18"/>
                <w:szCs w:val="18"/>
              </w:rPr>
              <w:lastRenderedPageBreak/>
              <w:t xml:space="preserve">Volumen Monetario y </w:t>
            </w:r>
            <w:proofErr w:type="spellStart"/>
            <w:r w:rsidRPr="0041149E">
              <w:rPr>
                <w:rFonts w:ascii="Times New Roman" w:hAnsi="Times New Roman" w:cs="Times New Roman"/>
                <w:b/>
                <w:bCs/>
                <w:sz w:val="18"/>
                <w:szCs w:val="18"/>
              </w:rPr>
              <w:t>Nº</w:t>
            </w:r>
            <w:proofErr w:type="spellEnd"/>
            <w:r w:rsidRPr="0041149E">
              <w:rPr>
                <w:rFonts w:ascii="Times New Roman" w:hAnsi="Times New Roman" w:cs="Times New Roman"/>
                <w:b/>
                <w:bCs/>
                <w:sz w:val="18"/>
                <w:szCs w:val="18"/>
              </w:rPr>
              <w:t xml:space="preserve"> Facturas pagadas en un período inferior al máximo establecido en la normativa de morosidad </w:t>
            </w:r>
          </w:p>
        </w:tc>
        <w:tc>
          <w:tcPr>
            <w:tcW w:w="0" w:type="auto"/>
            <w:gridSpan w:val="2"/>
            <w:tcBorders>
              <w:top w:val="single" w:sz="6" w:space="0" w:color="FFFFFF" w:themeColor="background1"/>
              <w:bottom w:val="single" w:sz="6" w:space="0" w:color="auto"/>
            </w:tcBorders>
            <w:shd w:val="clear" w:color="000000" w:fill="FFFFFF"/>
            <w:vAlign w:val="center"/>
            <w:hideMark/>
          </w:tcPr>
          <w:p w14:paraId="110B4E0F" w14:textId="256905EF"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2022</w:t>
            </w:r>
          </w:p>
        </w:tc>
      </w:tr>
      <w:tr w:rsidR="006B68D2" w:rsidRPr="0041149E" w14:paraId="78270683" w14:textId="77777777" w:rsidTr="0041149E">
        <w:trPr>
          <w:trHeight w:val="331"/>
          <w:tblCellSpacing w:w="20" w:type="dxa"/>
          <w:jc w:val="center"/>
        </w:trPr>
        <w:tc>
          <w:tcPr>
            <w:tcW w:w="0" w:type="auto"/>
            <w:shd w:val="clear" w:color="000000" w:fill="FFFFFF"/>
            <w:vAlign w:val="center"/>
          </w:tcPr>
          <w:p w14:paraId="25158FC3" w14:textId="77777777" w:rsidR="006B68D2" w:rsidRPr="0041149E" w:rsidRDefault="006B68D2" w:rsidP="001876C5">
            <w:pPr>
              <w:widowControl/>
              <w:autoSpaceDE/>
              <w:autoSpaceDN/>
              <w:adjustRightInd/>
              <w:rPr>
                <w:rFonts w:ascii="Times New Roman" w:hAnsi="Times New Roman" w:cs="Times New Roman"/>
                <w:b/>
                <w:bCs/>
                <w:sz w:val="18"/>
                <w:szCs w:val="18"/>
              </w:rPr>
            </w:pPr>
          </w:p>
        </w:tc>
        <w:tc>
          <w:tcPr>
            <w:tcW w:w="0" w:type="auto"/>
            <w:shd w:val="clear" w:color="000000" w:fill="FFFFFF"/>
            <w:vAlign w:val="center"/>
          </w:tcPr>
          <w:p w14:paraId="4738F3D9" w14:textId="6BB66302"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Importe</w:t>
            </w:r>
          </w:p>
        </w:tc>
        <w:tc>
          <w:tcPr>
            <w:tcW w:w="0" w:type="auto"/>
            <w:shd w:val="clear" w:color="000000" w:fill="FFFFFF"/>
            <w:vAlign w:val="center"/>
          </w:tcPr>
          <w:p w14:paraId="16A9BF1F" w14:textId="20A0FFBB" w:rsidR="006B68D2" w:rsidRPr="0041149E" w:rsidRDefault="006B68D2" w:rsidP="001876C5">
            <w:pPr>
              <w:widowControl/>
              <w:autoSpaceDE/>
              <w:autoSpaceDN/>
              <w:adjustRightInd/>
              <w:jc w:val="center"/>
              <w:rPr>
                <w:rFonts w:ascii="Times New Roman" w:hAnsi="Times New Roman" w:cs="Times New Roman"/>
                <w:b/>
                <w:bCs/>
                <w:sz w:val="18"/>
                <w:szCs w:val="18"/>
              </w:rPr>
            </w:pPr>
            <w:r w:rsidRPr="0041149E">
              <w:rPr>
                <w:rFonts w:ascii="Times New Roman" w:hAnsi="Times New Roman" w:cs="Times New Roman"/>
                <w:b/>
                <w:bCs/>
                <w:sz w:val="18"/>
                <w:szCs w:val="18"/>
              </w:rPr>
              <w:t>%</w:t>
            </w:r>
          </w:p>
        </w:tc>
      </w:tr>
      <w:tr w:rsidR="006B68D2" w:rsidRPr="0041149E" w14:paraId="7C72548C" w14:textId="77777777" w:rsidTr="0041149E">
        <w:trPr>
          <w:trHeight w:val="331"/>
          <w:tblCellSpacing w:w="20" w:type="dxa"/>
          <w:jc w:val="center"/>
        </w:trPr>
        <w:tc>
          <w:tcPr>
            <w:tcW w:w="0" w:type="auto"/>
            <w:shd w:val="clear" w:color="000000" w:fill="FFFFFF"/>
            <w:vAlign w:val="center"/>
          </w:tcPr>
          <w:p w14:paraId="14B00B93" w14:textId="06FADE23" w:rsidR="006B68D2" w:rsidRPr="0041149E" w:rsidRDefault="006B68D2" w:rsidP="006B68D2">
            <w:pPr>
              <w:widowControl/>
              <w:autoSpaceDE/>
              <w:autoSpaceDN/>
              <w:adjustRightInd/>
              <w:rPr>
                <w:rFonts w:ascii="Times New Roman" w:hAnsi="Times New Roman" w:cs="Times New Roman"/>
                <w:sz w:val="18"/>
                <w:szCs w:val="18"/>
              </w:rPr>
            </w:pPr>
            <w:r w:rsidRPr="0041149E">
              <w:rPr>
                <w:rFonts w:ascii="Times New Roman" w:hAnsi="Times New Roman" w:cs="Times New Roman"/>
                <w:sz w:val="18"/>
                <w:szCs w:val="18"/>
              </w:rPr>
              <w:t>Volumen Monetario</w:t>
            </w:r>
          </w:p>
        </w:tc>
        <w:tc>
          <w:tcPr>
            <w:tcW w:w="0" w:type="auto"/>
            <w:shd w:val="clear" w:color="000000" w:fill="FFFFFF"/>
            <w:vAlign w:val="center"/>
          </w:tcPr>
          <w:p w14:paraId="40B8BA8D" w14:textId="0B65F29C"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9.158.746,80</w:t>
            </w:r>
          </w:p>
        </w:tc>
        <w:tc>
          <w:tcPr>
            <w:tcW w:w="0" w:type="auto"/>
            <w:shd w:val="clear" w:color="000000" w:fill="FFFFFF"/>
            <w:vAlign w:val="center"/>
          </w:tcPr>
          <w:p w14:paraId="24DDF028" w14:textId="579DDEF5"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52,55</w:t>
            </w:r>
          </w:p>
        </w:tc>
      </w:tr>
      <w:tr w:rsidR="006B68D2" w:rsidRPr="0041149E" w14:paraId="6E808C9D" w14:textId="77777777" w:rsidTr="000B6271">
        <w:trPr>
          <w:trHeight w:val="331"/>
          <w:tblCellSpacing w:w="20" w:type="dxa"/>
          <w:jc w:val="center"/>
        </w:trPr>
        <w:tc>
          <w:tcPr>
            <w:tcW w:w="0" w:type="auto"/>
            <w:tcBorders>
              <w:bottom w:val="single" w:sz="6" w:space="0" w:color="FFFFFF" w:themeColor="background1"/>
            </w:tcBorders>
            <w:shd w:val="clear" w:color="000000" w:fill="FFFFFF"/>
            <w:vAlign w:val="center"/>
          </w:tcPr>
          <w:p w14:paraId="34CA2A80" w14:textId="0D139610" w:rsidR="006B68D2" w:rsidRPr="0041149E" w:rsidRDefault="006B68D2" w:rsidP="006B68D2">
            <w:pPr>
              <w:widowControl/>
              <w:autoSpaceDE/>
              <w:autoSpaceDN/>
              <w:adjustRightInd/>
              <w:rPr>
                <w:rFonts w:ascii="Times New Roman" w:hAnsi="Times New Roman" w:cs="Times New Roman"/>
                <w:sz w:val="18"/>
                <w:szCs w:val="18"/>
              </w:rPr>
            </w:pPr>
            <w:r w:rsidRPr="0041149E">
              <w:rPr>
                <w:rFonts w:ascii="Times New Roman" w:hAnsi="Times New Roman" w:cs="Times New Roman"/>
                <w:sz w:val="18"/>
                <w:szCs w:val="18"/>
              </w:rPr>
              <w:t>Número de facturas</w:t>
            </w:r>
          </w:p>
        </w:tc>
        <w:tc>
          <w:tcPr>
            <w:tcW w:w="0" w:type="auto"/>
            <w:tcBorders>
              <w:bottom w:val="single" w:sz="6" w:space="0" w:color="FFFFFF" w:themeColor="background1"/>
            </w:tcBorders>
            <w:shd w:val="clear" w:color="000000" w:fill="FFFFFF"/>
            <w:vAlign w:val="center"/>
          </w:tcPr>
          <w:p w14:paraId="4ACD4073" w14:textId="659C5E56"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2.699</w:t>
            </w:r>
          </w:p>
        </w:tc>
        <w:tc>
          <w:tcPr>
            <w:tcW w:w="0" w:type="auto"/>
            <w:tcBorders>
              <w:bottom w:val="single" w:sz="6" w:space="0" w:color="FFFFFF" w:themeColor="background1"/>
            </w:tcBorders>
            <w:shd w:val="clear" w:color="000000" w:fill="FFFFFF"/>
            <w:vAlign w:val="center"/>
          </w:tcPr>
          <w:p w14:paraId="1821C572" w14:textId="1B0122E8" w:rsidR="006B68D2" w:rsidRPr="0041149E" w:rsidRDefault="006B68D2" w:rsidP="006B68D2">
            <w:pPr>
              <w:widowControl/>
              <w:autoSpaceDE/>
              <w:autoSpaceDN/>
              <w:adjustRightInd/>
              <w:jc w:val="center"/>
              <w:rPr>
                <w:rFonts w:ascii="Times New Roman" w:hAnsi="Times New Roman" w:cs="Times New Roman"/>
                <w:sz w:val="18"/>
                <w:szCs w:val="18"/>
              </w:rPr>
            </w:pPr>
            <w:r w:rsidRPr="0041149E">
              <w:rPr>
                <w:rFonts w:ascii="Times New Roman" w:hAnsi="Times New Roman" w:cs="Times New Roman"/>
                <w:sz w:val="18"/>
                <w:szCs w:val="18"/>
              </w:rPr>
              <w:t>67,71</w:t>
            </w:r>
          </w:p>
        </w:tc>
      </w:tr>
    </w:tbl>
    <w:p w14:paraId="685DDFDB" w14:textId="7461C9E5" w:rsidR="001876C5" w:rsidRDefault="001876C5"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668B4143" w14:textId="4F83C221" w:rsidR="001876C5" w:rsidRDefault="001876C5" w:rsidP="009E7FDA">
      <w:pPr>
        <w:pStyle w:val="Default"/>
        <w:ind w:left="709"/>
        <w:jc w:val="both"/>
        <w:rPr>
          <w:rFonts w:ascii="Times New Roman" w:hAnsi="Times New Roman" w:cs="Times New Roman"/>
          <w:color w:val="0000FF"/>
          <w:spacing w:val="-3"/>
          <w:sz w:val="22"/>
          <w:szCs w:val="22"/>
          <w:highlight w:val="yellow"/>
          <w:lang w:val="es-ES_tradnl" w:eastAsia="es-ES_tradnl"/>
        </w:rPr>
      </w:pPr>
    </w:p>
    <w:p w14:paraId="1F05E0EC" w14:textId="77777777" w:rsidR="001876C5" w:rsidRDefault="001876C5" w:rsidP="009E7FDA">
      <w:pPr>
        <w:tabs>
          <w:tab w:val="left" w:pos="-720"/>
        </w:tabs>
        <w:suppressAutoHyphens/>
        <w:ind w:left="709" w:right="-26"/>
        <w:jc w:val="both"/>
        <w:rPr>
          <w:rFonts w:ascii="Times New Roman" w:hAnsi="Times New Roman" w:cs="Times New Roman"/>
          <w:b/>
          <w:bCs/>
          <w:spacing w:val="-2"/>
          <w:sz w:val="22"/>
          <w:szCs w:val="22"/>
          <w:lang w:val="es-ES_tradnl" w:eastAsia="es-ES_tradnl"/>
        </w:rPr>
      </w:pPr>
    </w:p>
    <w:p w14:paraId="71B5C699" w14:textId="2F2E51D3" w:rsidR="009E7FDA" w:rsidRPr="00C8275B" w:rsidRDefault="0076239A" w:rsidP="009E7FDA">
      <w:pPr>
        <w:tabs>
          <w:tab w:val="left" w:pos="-720"/>
        </w:tabs>
        <w:suppressAutoHyphens/>
        <w:ind w:left="709" w:right="-26"/>
        <w:jc w:val="both"/>
        <w:rPr>
          <w:rFonts w:ascii="Times New Roman" w:hAnsi="Times New Roman" w:cs="Times New Roman"/>
          <w:b/>
          <w:bCs/>
          <w:spacing w:val="-2"/>
          <w:sz w:val="22"/>
          <w:szCs w:val="22"/>
          <w:u w:val="double"/>
          <w:lang w:val="es-ES_tradnl" w:eastAsia="es-ES_tradnl"/>
        </w:rPr>
      </w:pPr>
      <w:r w:rsidRPr="00C8275B">
        <w:rPr>
          <w:rFonts w:ascii="Times New Roman" w:hAnsi="Times New Roman" w:cs="Times New Roman"/>
          <w:b/>
          <w:bCs/>
          <w:spacing w:val="-2"/>
          <w:sz w:val="22"/>
          <w:szCs w:val="22"/>
          <w:lang w:val="es-ES_tradnl" w:eastAsia="es-ES_tradnl"/>
        </w:rPr>
        <w:t>1</w:t>
      </w:r>
      <w:r w:rsidR="008513D2" w:rsidRPr="00C8275B">
        <w:rPr>
          <w:rFonts w:ascii="Times New Roman" w:hAnsi="Times New Roman" w:cs="Times New Roman"/>
          <w:b/>
          <w:bCs/>
          <w:spacing w:val="-2"/>
          <w:sz w:val="22"/>
          <w:szCs w:val="22"/>
          <w:lang w:val="es-ES_tradnl" w:eastAsia="es-ES_tradnl"/>
        </w:rPr>
        <w:t>5</w:t>
      </w:r>
      <w:r w:rsidR="009E7FDA" w:rsidRPr="00C8275B">
        <w:rPr>
          <w:rFonts w:ascii="Times New Roman" w:hAnsi="Times New Roman" w:cs="Times New Roman"/>
          <w:b/>
          <w:bCs/>
          <w:spacing w:val="-2"/>
          <w:sz w:val="22"/>
          <w:szCs w:val="22"/>
          <w:lang w:val="es-ES_tradnl" w:eastAsia="es-ES_tradnl"/>
        </w:rPr>
        <w:t xml:space="preserve">. </w:t>
      </w:r>
      <w:r w:rsidR="009E7FDA" w:rsidRPr="00C8275B">
        <w:rPr>
          <w:rFonts w:ascii="Times New Roman" w:hAnsi="Times New Roman" w:cs="Times New Roman"/>
          <w:b/>
          <w:bCs/>
          <w:spacing w:val="-2"/>
          <w:sz w:val="22"/>
          <w:szCs w:val="22"/>
          <w:u w:val="double"/>
          <w:lang w:val="es-ES_tradnl" w:eastAsia="es-ES_tradnl"/>
        </w:rPr>
        <w:t>INFORMACION MEDIO AMBIENTAL</w:t>
      </w:r>
    </w:p>
    <w:p w14:paraId="6590C694" w14:textId="77777777" w:rsidR="009E7FDA" w:rsidRPr="00C8275B" w:rsidRDefault="009E7FDA" w:rsidP="009E7FDA">
      <w:pPr>
        <w:pStyle w:val="Default"/>
        <w:ind w:left="709"/>
        <w:jc w:val="both"/>
        <w:rPr>
          <w:rFonts w:ascii="Times New Roman" w:hAnsi="Times New Roman" w:cs="Times New Roman"/>
          <w:color w:val="auto"/>
          <w:spacing w:val="-3"/>
          <w:sz w:val="22"/>
          <w:szCs w:val="22"/>
          <w:highlight w:val="yellow"/>
          <w:lang w:val="es-ES_tradnl" w:eastAsia="es-ES_tradnl"/>
        </w:rPr>
      </w:pPr>
    </w:p>
    <w:p w14:paraId="7E1F044A" w14:textId="77777777" w:rsidR="009E7FDA" w:rsidRPr="00C8275B" w:rsidRDefault="009E7FDA" w:rsidP="009E7FDA">
      <w:pPr>
        <w:pStyle w:val="Default"/>
        <w:ind w:left="709"/>
        <w:jc w:val="both"/>
        <w:rPr>
          <w:rFonts w:ascii="Times New Roman" w:hAnsi="Times New Roman" w:cs="Times New Roman"/>
          <w:color w:val="auto"/>
          <w:spacing w:val="-3"/>
          <w:sz w:val="22"/>
          <w:szCs w:val="22"/>
          <w:lang w:val="es-ES_tradnl" w:eastAsia="es-ES_tradnl"/>
        </w:rPr>
      </w:pPr>
      <w:r w:rsidRPr="00C8275B">
        <w:rPr>
          <w:rFonts w:ascii="Times New Roman" w:hAnsi="Times New Roman" w:cs="Times New Roman"/>
          <w:color w:val="auto"/>
          <w:spacing w:val="-3"/>
          <w:sz w:val="22"/>
          <w:szCs w:val="22"/>
          <w:lang w:val="es-ES_tradnl" w:eastAsia="es-ES_tradnl"/>
        </w:rPr>
        <w:t>Dada la actividad a la que se dedica la sociedad, la misma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w:t>
      </w:r>
    </w:p>
    <w:p w14:paraId="06F473A3" w14:textId="77777777" w:rsidR="007279D5" w:rsidRPr="00C8275B" w:rsidRDefault="007279D5" w:rsidP="00F8206D">
      <w:pPr>
        <w:shd w:val="clear" w:color="auto" w:fill="FFFFFF"/>
        <w:ind w:left="709"/>
        <w:jc w:val="both"/>
        <w:rPr>
          <w:rFonts w:ascii="Times New Roman" w:hAnsi="Times New Roman" w:cs="Times New Roman"/>
          <w:color w:val="0000FF"/>
          <w:spacing w:val="-4"/>
          <w:sz w:val="22"/>
          <w:szCs w:val="22"/>
          <w:lang w:eastAsia="es-ES_tradnl"/>
        </w:rPr>
      </w:pPr>
    </w:p>
    <w:p w14:paraId="6B04E54A" w14:textId="04F3F1CD" w:rsidR="006C0067" w:rsidRPr="00C8275B" w:rsidRDefault="006C0067" w:rsidP="00C84B30">
      <w:pPr>
        <w:shd w:val="clear" w:color="auto" w:fill="FFFFFF"/>
        <w:spacing w:before="335"/>
        <w:ind w:right="155"/>
        <w:jc w:val="center"/>
        <w:rPr>
          <w:rFonts w:ascii="Times New Roman" w:hAnsi="Times New Roman" w:cs="Times New Roman"/>
          <w:color w:val="0000FF"/>
          <w:sz w:val="22"/>
          <w:szCs w:val="22"/>
          <w:lang w:val="es-ES_tradnl" w:eastAsia="es-ES_tradnl"/>
        </w:rPr>
      </w:pPr>
      <w:r w:rsidRPr="00C8275B">
        <w:rPr>
          <w:rFonts w:ascii="Times New Roman" w:hAnsi="Times New Roman" w:cs="Times New Roman"/>
          <w:sz w:val="22"/>
          <w:szCs w:val="22"/>
          <w:lang w:val="es-ES_tradnl" w:eastAsia="es-ES_tradnl"/>
        </w:rPr>
        <w:t>En Las Palmas de Gran Canaria</w:t>
      </w:r>
      <w:r w:rsidRPr="000D4A0C">
        <w:rPr>
          <w:rFonts w:ascii="Times New Roman" w:hAnsi="Times New Roman" w:cs="Times New Roman"/>
          <w:sz w:val="22"/>
          <w:szCs w:val="22"/>
          <w:lang w:val="es-ES_tradnl" w:eastAsia="es-ES_tradnl"/>
        </w:rPr>
        <w:t xml:space="preserve">, a </w:t>
      </w:r>
      <w:r w:rsidR="00E45473">
        <w:rPr>
          <w:rFonts w:ascii="Times New Roman" w:hAnsi="Times New Roman" w:cs="Times New Roman"/>
          <w:sz w:val="22"/>
          <w:szCs w:val="22"/>
          <w:lang w:val="es-ES_tradnl" w:eastAsia="es-ES_tradnl"/>
        </w:rPr>
        <w:t>0</w:t>
      </w:r>
      <w:r w:rsidR="00BC023C">
        <w:rPr>
          <w:rFonts w:ascii="Times New Roman" w:hAnsi="Times New Roman" w:cs="Times New Roman"/>
          <w:sz w:val="22"/>
          <w:szCs w:val="22"/>
          <w:lang w:val="es-ES_tradnl" w:eastAsia="es-ES_tradnl"/>
        </w:rPr>
        <w:t>8</w:t>
      </w:r>
      <w:r w:rsidRPr="000D4A0C">
        <w:rPr>
          <w:rFonts w:ascii="Times New Roman" w:hAnsi="Times New Roman" w:cs="Times New Roman"/>
          <w:sz w:val="22"/>
          <w:szCs w:val="22"/>
          <w:lang w:val="es-ES_tradnl" w:eastAsia="es-ES_tradnl"/>
        </w:rPr>
        <w:t xml:space="preserve"> </w:t>
      </w:r>
      <w:r w:rsidR="008E70B3" w:rsidRPr="000D4A0C">
        <w:rPr>
          <w:rFonts w:ascii="Times New Roman" w:hAnsi="Times New Roman" w:cs="Times New Roman"/>
          <w:sz w:val="22"/>
          <w:szCs w:val="22"/>
          <w:lang w:val="es-ES_tradnl" w:eastAsia="es-ES_tradnl"/>
        </w:rPr>
        <w:t xml:space="preserve">de </w:t>
      </w:r>
      <w:r w:rsidR="00E45473">
        <w:rPr>
          <w:rFonts w:ascii="Times New Roman" w:hAnsi="Times New Roman" w:cs="Times New Roman"/>
          <w:sz w:val="22"/>
          <w:szCs w:val="22"/>
          <w:lang w:val="es-ES_tradnl" w:eastAsia="es-ES_tradnl"/>
        </w:rPr>
        <w:t>junio</w:t>
      </w:r>
      <w:r w:rsidR="001B068B" w:rsidRPr="000D4A0C">
        <w:rPr>
          <w:rFonts w:ascii="Times New Roman" w:hAnsi="Times New Roman" w:cs="Times New Roman"/>
          <w:sz w:val="22"/>
          <w:szCs w:val="22"/>
          <w:lang w:val="es-ES_tradnl" w:eastAsia="es-ES_tradnl"/>
        </w:rPr>
        <w:t xml:space="preserve"> de </w:t>
      </w:r>
      <w:r w:rsidR="00B732BE" w:rsidRPr="000D4A0C">
        <w:rPr>
          <w:rFonts w:ascii="Times New Roman" w:hAnsi="Times New Roman" w:cs="Times New Roman"/>
          <w:sz w:val="22"/>
          <w:szCs w:val="22"/>
          <w:lang w:val="es-ES_tradnl" w:eastAsia="es-ES_tradnl"/>
        </w:rPr>
        <w:t>202</w:t>
      </w:r>
      <w:r w:rsidR="009F46EA" w:rsidRPr="000D4A0C">
        <w:rPr>
          <w:rFonts w:ascii="Times New Roman" w:hAnsi="Times New Roman" w:cs="Times New Roman"/>
          <w:sz w:val="22"/>
          <w:szCs w:val="22"/>
          <w:lang w:val="es-ES_tradnl" w:eastAsia="es-ES_tradnl"/>
        </w:rPr>
        <w:t>3</w:t>
      </w:r>
      <w:r w:rsidR="00D63C96">
        <w:rPr>
          <w:rFonts w:ascii="Times New Roman" w:hAnsi="Times New Roman" w:cs="Times New Roman"/>
          <w:sz w:val="22"/>
          <w:szCs w:val="22"/>
          <w:lang w:val="es-ES_tradnl" w:eastAsia="es-ES_tradnl"/>
        </w:rPr>
        <w:t>.</w:t>
      </w:r>
    </w:p>
    <w:p w14:paraId="35DD471D" w14:textId="77777777" w:rsidR="006C0067" w:rsidRPr="00C8275B" w:rsidRDefault="006C0067" w:rsidP="00C84B30">
      <w:pPr>
        <w:shd w:val="clear" w:color="auto" w:fill="FFFFFF"/>
        <w:spacing w:before="335"/>
        <w:ind w:left="709" w:right="155"/>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Consejo de Administración</w:t>
      </w:r>
    </w:p>
    <w:tbl>
      <w:tblPr>
        <w:tblW w:w="9051" w:type="dxa"/>
        <w:tblInd w:w="1260" w:type="dxa"/>
        <w:tblLook w:val="04A0" w:firstRow="1" w:lastRow="0" w:firstColumn="1" w:lastColumn="0" w:noHBand="0" w:noVBand="1"/>
      </w:tblPr>
      <w:tblGrid>
        <w:gridCol w:w="3017"/>
        <w:gridCol w:w="3017"/>
        <w:gridCol w:w="3017"/>
      </w:tblGrid>
      <w:tr w:rsidR="006C0067" w:rsidRPr="00C8275B" w14:paraId="15F80454" w14:textId="77777777" w:rsidTr="00975330">
        <w:trPr>
          <w:trHeight w:val="1937"/>
        </w:trPr>
        <w:tc>
          <w:tcPr>
            <w:tcW w:w="3017" w:type="dxa"/>
          </w:tcPr>
          <w:p w14:paraId="04FDE78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BA6C35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679F952C"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702AB34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12C2254"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052DB647"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Presidenta</w:t>
            </w:r>
          </w:p>
          <w:p w14:paraId="45B67964" w14:textId="77777777" w:rsidR="006C0067" w:rsidRPr="00C8275B" w:rsidRDefault="005C1312" w:rsidP="005C1312">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Encarnación Galván González</w:t>
            </w:r>
          </w:p>
        </w:tc>
        <w:tc>
          <w:tcPr>
            <w:tcW w:w="3017" w:type="dxa"/>
          </w:tcPr>
          <w:p w14:paraId="045BC2A1"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4F465109" w14:textId="77777777" w:rsidR="00AE67E1" w:rsidRPr="00C8275B" w:rsidRDefault="00AE67E1" w:rsidP="00724E75">
            <w:pPr>
              <w:ind w:right="153"/>
              <w:jc w:val="center"/>
              <w:rPr>
                <w:rFonts w:ascii="Times New Roman" w:hAnsi="Times New Roman" w:cs="Times New Roman"/>
                <w:sz w:val="22"/>
                <w:szCs w:val="22"/>
                <w:lang w:val="es-ES_tradnl" w:eastAsia="es-ES_tradnl"/>
              </w:rPr>
            </w:pPr>
          </w:p>
          <w:p w14:paraId="579FA919"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327145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D4391BD"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143AD47B"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2FF63DD7"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Inmaculada Medina Montenegro</w:t>
            </w:r>
          </w:p>
        </w:tc>
        <w:tc>
          <w:tcPr>
            <w:tcW w:w="3017" w:type="dxa"/>
          </w:tcPr>
          <w:p w14:paraId="14AF1BB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CC67D84"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5CA027B"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1CDCDC6"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3F5BFB66" w14:textId="77777777" w:rsidR="006C0067" w:rsidRPr="00C8275B" w:rsidRDefault="006C0067" w:rsidP="00724E75">
            <w:pPr>
              <w:ind w:right="153"/>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46C8430F"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0BC16979" w14:textId="77777777" w:rsidR="006C0067" w:rsidRPr="00C8275B" w:rsidRDefault="00D85FDA" w:rsidP="005C1312">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w:t>
            </w:r>
            <w:r w:rsidR="006C0067" w:rsidRPr="00C8275B">
              <w:rPr>
                <w:rFonts w:ascii="Times New Roman" w:hAnsi="Times New Roman" w:cs="Times New Roman"/>
                <w:sz w:val="22"/>
                <w:szCs w:val="22"/>
                <w:lang w:val="es-ES_tradnl" w:eastAsia="es-ES_tradnl"/>
              </w:rPr>
              <w:t xml:space="preserve">. </w:t>
            </w:r>
            <w:r w:rsidRPr="00C8275B">
              <w:rPr>
                <w:rFonts w:ascii="Times New Roman" w:hAnsi="Times New Roman" w:cs="Times New Roman"/>
                <w:sz w:val="22"/>
                <w:szCs w:val="22"/>
                <w:lang w:val="es-ES_tradnl" w:eastAsia="es-ES_tradnl"/>
              </w:rPr>
              <w:t>Pedro Quevedo Iturbe</w:t>
            </w:r>
          </w:p>
        </w:tc>
      </w:tr>
      <w:tr w:rsidR="006C0067" w:rsidRPr="00C8275B" w14:paraId="047639F4" w14:textId="77777777" w:rsidTr="00975330">
        <w:trPr>
          <w:trHeight w:val="2200"/>
        </w:trPr>
        <w:tc>
          <w:tcPr>
            <w:tcW w:w="3017" w:type="dxa"/>
          </w:tcPr>
          <w:p w14:paraId="66CAB4EC"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98BBA99"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0823288"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2DD97907"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0B04D16C"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2E2C179"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6025235C"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0BCA698D" w14:textId="77777777" w:rsidR="006C0067" w:rsidRPr="00C8275B" w:rsidRDefault="00635FED" w:rsidP="00D85FDA">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 </w:t>
            </w:r>
            <w:r w:rsidR="00D85FDA" w:rsidRPr="00C8275B">
              <w:rPr>
                <w:rFonts w:ascii="Times New Roman" w:hAnsi="Times New Roman" w:cs="Times New Roman"/>
                <w:sz w:val="22"/>
                <w:szCs w:val="22"/>
                <w:lang w:val="es-ES_tradnl" w:eastAsia="es-ES_tradnl"/>
              </w:rPr>
              <w:t xml:space="preserve">Juan José Laforet Hernández </w:t>
            </w:r>
          </w:p>
        </w:tc>
        <w:tc>
          <w:tcPr>
            <w:tcW w:w="3017" w:type="dxa"/>
          </w:tcPr>
          <w:p w14:paraId="6F3FF3A0"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372442E"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1AE4059"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24E7738B"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E4873D6"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1C90B881"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702E595"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452E7239" w14:textId="77777777" w:rsidR="006C0067" w:rsidRPr="00C8275B" w:rsidRDefault="004308BD" w:rsidP="004308B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Dña. </w:t>
            </w:r>
            <w:proofErr w:type="spellStart"/>
            <w:r w:rsidRPr="00C8275B">
              <w:rPr>
                <w:rFonts w:ascii="Times New Roman" w:hAnsi="Times New Roman" w:cs="Times New Roman"/>
                <w:sz w:val="22"/>
                <w:szCs w:val="22"/>
                <w:lang w:val="es-ES_tradnl" w:eastAsia="es-ES_tradnl"/>
              </w:rPr>
              <w:t>Mª</w:t>
            </w:r>
            <w:proofErr w:type="spellEnd"/>
            <w:r w:rsidRPr="00C8275B">
              <w:rPr>
                <w:rFonts w:ascii="Times New Roman" w:hAnsi="Times New Roman" w:cs="Times New Roman"/>
                <w:sz w:val="22"/>
                <w:szCs w:val="22"/>
                <w:lang w:val="es-ES_tradnl" w:eastAsia="es-ES_tradnl"/>
              </w:rPr>
              <w:t xml:space="preserve"> Ro</w:t>
            </w:r>
            <w:r w:rsidR="00CE22E0" w:rsidRPr="00C8275B">
              <w:rPr>
                <w:rFonts w:ascii="Times New Roman" w:hAnsi="Times New Roman" w:cs="Times New Roman"/>
                <w:sz w:val="22"/>
                <w:szCs w:val="22"/>
                <w:lang w:val="es-ES_tradnl" w:eastAsia="es-ES_tradnl"/>
              </w:rPr>
              <w:t xml:space="preserve">sario León </w:t>
            </w:r>
            <w:r w:rsidR="00241E8C" w:rsidRPr="00C8275B">
              <w:rPr>
                <w:rFonts w:ascii="Times New Roman" w:hAnsi="Times New Roman" w:cs="Times New Roman"/>
                <w:sz w:val="22"/>
                <w:szCs w:val="22"/>
                <w:lang w:val="es-ES_tradnl" w:eastAsia="es-ES_tradnl"/>
              </w:rPr>
              <w:t>Socorro</w:t>
            </w:r>
          </w:p>
        </w:tc>
        <w:tc>
          <w:tcPr>
            <w:tcW w:w="3017" w:type="dxa"/>
          </w:tcPr>
          <w:p w14:paraId="21E0E088"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4B12837E"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04B5A8F"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5DDD501"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2A412B8E" w14:textId="77777777" w:rsidR="00635FED" w:rsidRPr="00C8275B" w:rsidRDefault="00635FED" w:rsidP="00724E75">
            <w:pPr>
              <w:ind w:right="153"/>
              <w:jc w:val="center"/>
              <w:rPr>
                <w:rFonts w:ascii="Times New Roman" w:hAnsi="Times New Roman" w:cs="Times New Roman"/>
                <w:sz w:val="22"/>
                <w:szCs w:val="22"/>
                <w:lang w:val="es-ES_tradnl" w:eastAsia="es-ES_tradnl"/>
              </w:rPr>
            </w:pPr>
          </w:p>
          <w:p w14:paraId="2130B629"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64C918FC"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11D07070" w14:textId="77777777" w:rsidR="006C0067" w:rsidRPr="00C8275B" w:rsidRDefault="006C0067" w:rsidP="00724E75">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 Manuel Tomás Magraner </w:t>
            </w:r>
          </w:p>
        </w:tc>
      </w:tr>
      <w:tr w:rsidR="006C0067" w:rsidRPr="00C8275B" w14:paraId="61664A58" w14:textId="77777777" w:rsidTr="00975330">
        <w:trPr>
          <w:trHeight w:val="1698"/>
        </w:trPr>
        <w:tc>
          <w:tcPr>
            <w:tcW w:w="3017" w:type="dxa"/>
          </w:tcPr>
          <w:p w14:paraId="469A0122"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1D2A57BC"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7C748DBA"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1E6E0EE2"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7F3DC6BE"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FFE74A2"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Consejero</w:t>
            </w:r>
          </w:p>
          <w:p w14:paraId="5FCD76BE" w14:textId="77777777" w:rsidR="006C0067" w:rsidRPr="00C8275B" w:rsidRDefault="00635FED" w:rsidP="00CE22E0">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 xml:space="preserve">Dña. </w:t>
            </w:r>
            <w:r w:rsidR="00CE22E0" w:rsidRPr="00C8275B">
              <w:rPr>
                <w:rFonts w:ascii="Times New Roman" w:hAnsi="Times New Roman" w:cs="Times New Roman"/>
                <w:sz w:val="22"/>
                <w:szCs w:val="22"/>
                <w:lang w:val="es-ES_tradnl" w:eastAsia="es-ES_tradnl"/>
              </w:rPr>
              <w:t>Natalia Me</w:t>
            </w:r>
            <w:r w:rsidR="00241E8C" w:rsidRPr="00C8275B">
              <w:rPr>
                <w:rFonts w:ascii="Times New Roman" w:hAnsi="Times New Roman" w:cs="Times New Roman"/>
                <w:sz w:val="22"/>
                <w:szCs w:val="22"/>
                <w:lang w:val="es-ES_tradnl" w:eastAsia="es-ES_tradnl"/>
              </w:rPr>
              <w:t>dina Santana</w:t>
            </w:r>
            <w:r w:rsidR="006C0067" w:rsidRPr="00C8275B">
              <w:rPr>
                <w:rFonts w:ascii="Times New Roman" w:hAnsi="Times New Roman" w:cs="Times New Roman"/>
                <w:sz w:val="22"/>
                <w:szCs w:val="22"/>
                <w:lang w:val="es-ES_tradnl" w:eastAsia="es-ES_tradnl"/>
              </w:rPr>
              <w:t xml:space="preserve"> </w:t>
            </w:r>
          </w:p>
        </w:tc>
        <w:tc>
          <w:tcPr>
            <w:tcW w:w="3017" w:type="dxa"/>
          </w:tcPr>
          <w:p w14:paraId="685135A8" w14:textId="77777777" w:rsidR="006C0067" w:rsidRPr="00C8275B" w:rsidRDefault="006C0067" w:rsidP="00724E75">
            <w:pPr>
              <w:ind w:right="153"/>
              <w:jc w:val="center"/>
              <w:rPr>
                <w:rFonts w:ascii="Times New Roman" w:hAnsi="Times New Roman" w:cs="Times New Roman"/>
                <w:sz w:val="22"/>
                <w:szCs w:val="22"/>
                <w:lang w:val="es-ES_tradnl" w:eastAsia="es-ES_tradnl"/>
              </w:rPr>
            </w:pPr>
          </w:p>
          <w:p w14:paraId="0E8457AF"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06248C66"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432AE4E5" w14:textId="77777777" w:rsidR="00635FED" w:rsidRPr="00C8275B" w:rsidRDefault="00635FED" w:rsidP="00635FED">
            <w:pPr>
              <w:ind w:right="153"/>
              <w:jc w:val="center"/>
              <w:rPr>
                <w:rFonts w:ascii="Times New Roman" w:hAnsi="Times New Roman" w:cs="Times New Roman"/>
                <w:sz w:val="22"/>
                <w:szCs w:val="22"/>
                <w:lang w:val="es-ES_tradnl" w:eastAsia="es-ES_tradnl"/>
              </w:rPr>
            </w:pPr>
          </w:p>
          <w:p w14:paraId="5F9BF5BD" w14:textId="77777777"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________________________</w:t>
            </w:r>
          </w:p>
          <w:p w14:paraId="7D2F379C" w14:textId="7A6245DA" w:rsidR="00635FED"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Secretaria</w:t>
            </w:r>
            <w:r w:rsidR="007279D5" w:rsidRPr="00C8275B">
              <w:rPr>
                <w:rFonts w:ascii="Times New Roman" w:hAnsi="Times New Roman" w:cs="Times New Roman"/>
                <w:sz w:val="22"/>
                <w:szCs w:val="22"/>
                <w:lang w:val="es-ES_tradnl" w:eastAsia="es-ES_tradnl"/>
              </w:rPr>
              <w:t xml:space="preserve"> </w:t>
            </w:r>
            <w:r w:rsidR="009E1F6B">
              <w:rPr>
                <w:rFonts w:ascii="Times New Roman" w:hAnsi="Times New Roman" w:cs="Times New Roman"/>
                <w:sz w:val="22"/>
                <w:szCs w:val="22"/>
                <w:lang w:val="es-ES_tradnl" w:eastAsia="es-ES_tradnl"/>
              </w:rPr>
              <w:t>no c</w:t>
            </w:r>
            <w:r w:rsidR="007279D5" w:rsidRPr="00C8275B">
              <w:rPr>
                <w:rFonts w:ascii="Times New Roman" w:hAnsi="Times New Roman" w:cs="Times New Roman"/>
                <w:sz w:val="22"/>
                <w:szCs w:val="22"/>
                <w:lang w:val="es-ES_tradnl" w:eastAsia="es-ES_tradnl"/>
              </w:rPr>
              <w:t>onsejera</w:t>
            </w:r>
          </w:p>
          <w:p w14:paraId="177567B7" w14:textId="77777777" w:rsidR="006C0067" w:rsidRPr="00C8275B" w:rsidRDefault="00635FED" w:rsidP="00635FED">
            <w:pPr>
              <w:ind w:right="153"/>
              <w:jc w:val="center"/>
              <w:rPr>
                <w:rFonts w:ascii="Times New Roman" w:hAnsi="Times New Roman" w:cs="Times New Roman"/>
                <w:sz w:val="22"/>
                <w:szCs w:val="22"/>
                <w:lang w:val="es-ES_tradnl" w:eastAsia="es-ES_tradnl"/>
              </w:rPr>
            </w:pPr>
            <w:r w:rsidRPr="00C8275B">
              <w:rPr>
                <w:rFonts w:ascii="Times New Roman" w:hAnsi="Times New Roman" w:cs="Times New Roman"/>
                <w:sz w:val="22"/>
                <w:szCs w:val="22"/>
                <w:lang w:val="es-ES_tradnl" w:eastAsia="es-ES_tradnl"/>
              </w:rPr>
              <w:t>Dña. María José Caballero González</w:t>
            </w:r>
            <w:r w:rsidR="006C0067" w:rsidRPr="00C8275B">
              <w:rPr>
                <w:rFonts w:ascii="Times New Roman" w:hAnsi="Times New Roman" w:cs="Times New Roman"/>
                <w:sz w:val="22"/>
                <w:szCs w:val="22"/>
                <w:lang w:val="es-ES_tradnl" w:eastAsia="es-ES_tradnl"/>
              </w:rPr>
              <w:t xml:space="preserve"> </w:t>
            </w:r>
          </w:p>
        </w:tc>
        <w:tc>
          <w:tcPr>
            <w:tcW w:w="3017" w:type="dxa"/>
          </w:tcPr>
          <w:p w14:paraId="0E189DB1" w14:textId="77777777" w:rsidR="006C0067" w:rsidRPr="00C8275B" w:rsidRDefault="006C0067" w:rsidP="00724E75">
            <w:pPr>
              <w:ind w:right="153"/>
              <w:jc w:val="center"/>
              <w:rPr>
                <w:rFonts w:ascii="Times New Roman" w:hAnsi="Times New Roman" w:cs="Times New Roman"/>
                <w:color w:val="0000FF"/>
                <w:sz w:val="22"/>
                <w:szCs w:val="22"/>
                <w:lang w:val="es-ES_tradnl" w:eastAsia="es-ES_tradnl"/>
              </w:rPr>
            </w:pPr>
          </w:p>
        </w:tc>
      </w:tr>
    </w:tbl>
    <w:p w14:paraId="2C3EF0E8" w14:textId="77777777" w:rsidR="006C0067" w:rsidRPr="00C8275B" w:rsidRDefault="006C0067" w:rsidP="006C0067">
      <w:pPr>
        <w:spacing w:after="209" w:line="1" w:lineRule="exact"/>
        <w:jc w:val="both"/>
        <w:rPr>
          <w:rFonts w:ascii="Times New Roman" w:hAnsi="Times New Roman" w:cs="Times New Roman"/>
          <w:color w:val="0000FF"/>
          <w:sz w:val="22"/>
          <w:szCs w:val="22"/>
        </w:rPr>
      </w:pPr>
    </w:p>
    <w:sectPr w:rsidR="006C0067" w:rsidRPr="00C8275B" w:rsidSect="001608C4">
      <w:pgSz w:w="11907" w:h="16840"/>
      <w:pgMar w:top="993" w:right="1418" w:bottom="1276" w:left="567" w:header="720" w:footer="720"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49F7" w14:textId="77777777" w:rsidR="00682699" w:rsidRDefault="00682699" w:rsidP="006C0067">
      <w:r>
        <w:separator/>
      </w:r>
    </w:p>
  </w:endnote>
  <w:endnote w:type="continuationSeparator" w:id="0">
    <w:p w14:paraId="5D37C3DC" w14:textId="77777777" w:rsidR="00682699" w:rsidRDefault="00682699" w:rsidP="006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56E8" w14:textId="77777777" w:rsidR="003416FB" w:rsidRDefault="003416FB">
    <w:pPr>
      <w:pStyle w:val="Piedepgina"/>
      <w:jc w:val="right"/>
    </w:pPr>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14:paraId="521FF574" w14:textId="77777777" w:rsidR="003416FB" w:rsidRDefault="00341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A5F7" w14:textId="77777777" w:rsidR="00682699" w:rsidRDefault="00682699" w:rsidP="006C0067">
      <w:r>
        <w:separator/>
      </w:r>
    </w:p>
  </w:footnote>
  <w:footnote w:type="continuationSeparator" w:id="0">
    <w:p w14:paraId="1CAC50CA" w14:textId="77777777" w:rsidR="00682699" w:rsidRDefault="00682699" w:rsidP="006C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4" w15:restartNumberingAfterBreak="0">
    <w:nsid w:val="177104E6"/>
    <w:multiLevelType w:val="hybridMultilevel"/>
    <w:tmpl w:val="DC646C8A"/>
    <w:lvl w:ilvl="0" w:tplc="6478AC4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6"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5D86753"/>
    <w:multiLevelType w:val="hybridMultilevel"/>
    <w:tmpl w:val="3D542F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2"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3" w15:restartNumberingAfterBreak="0">
    <w:nsid w:val="6D8D17B5"/>
    <w:multiLevelType w:val="hybridMultilevel"/>
    <w:tmpl w:val="65F60742"/>
    <w:lvl w:ilvl="0" w:tplc="B8646BA0">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98061944">
    <w:abstractNumId w:val="11"/>
  </w:num>
  <w:num w:numId="2" w16cid:durableId="237444071">
    <w:abstractNumId w:val="5"/>
  </w:num>
  <w:num w:numId="3" w16cid:durableId="634868116">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4" w16cid:durableId="1308776240">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5" w16cid:durableId="367683158">
    <w:abstractNumId w:val="12"/>
  </w:num>
  <w:num w:numId="6" w16cid:durableId="1647661528">
    <w:abstractNumId w:val="10"/>
  </w:num>
  <w:num w:numId="7" w16cid:durableId="1883131847">
    <w:abstractNumId w:val="8"/>
  </w:num>
  <w:num w:numId="8" w16cid:durableId="542448961">
    <w:abstractNumId w:val="14"/>
  </w:num>
  <w:num w:numId="9" w16cid:durableId="2126149321">
    <w:abstractNumId w:val="3"/>
  </w:num>
  <w:num w:numId="10" w16cid:durableId="77529133">
    <w:abstractNumId w:val="9"/>
  </w:num>
  <w:num w:numId="11" w16cid:durableId="902640277">
    <w:abstractNumId w:val="1"/>
  </w:num>
  <w:num w:numId="12" w16cid:durableId="1191068360">
    <w:abstractNumId w:val="2"/>
  </w:num>
  <w:num w:numId="13" w16cid:durableId="1872958191">
    <w:abstractNumId w:val="6"/>
  </w:num>
  <w:num w:numId="14" w16cid:durableId="1909999180">
    <w:abstractNumId w:val="13"/>
  </w:num>
  <w:num w:numId="15" w16cid:durableId="150294700">
    <w:abstractNumId w:val="7"/>
  </w:num>
  <w:num w:numId="16" w16cid:durableId="735662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67"/>
    <w:rsid w:val="000016F8"/>
    <w:rsid w:val="00001F34"/>
    <w:rsid w:val="000028F7"/>
    <w:rsid w:val="00002A52"/>
    <w:rsid w:val="00002BA8"/>
    <w:rsid w:val="00013142"/>
    <w:rsid w:val="00015461"/>
    <w:rsid w:val="00032BB1"/>
    <w:rsid w:val="00032CF7"/>
    <w:rsid w:val="00033968"/>
    <w:rsid w:val="00033CAF"/>
    <w:rsid w:val="000356C7"/>
    <w:rsid w:val="00036651"/>
    <w:rsid w:val="00042482"/>
    <w:rsid w:val="00042D5C"/>
    <w:rsid w:val="00042D9E"/>
    <w:rsid w:val="00043076"/>
    <w:rsid w:val="000448D3"/>
    <w:rsid w:val="000462FC"/>
    <w:rsid w:val="000473E2"/>
    <w:rsid w:val="000476D4"/>
    <w:rsid w:val="00047975"/>
    <w:rsid w:val="00052206"/>
    <w:rsid w:val="0005456C"/>
    <w:rsid w:val="00056505"/>
    <w:rsid w:val="00056B5A"/>
    <w:rsid w:val="000576A2"/>
    <w:rsid w:val="000578EC"/>
    <w:rsid w:val="000624AE"/>
    <w:rsid w:val="00064349"/>
    <w:rsid w:val="00067C4C"/>
    <w:rsid w:val="00071A7A"/>
    <w:rsid w:val="00071DEA"/>
    <w:rsid w:val="0007387A"/>
    <w:rsid w:val="00090247"/>
    <w:rsid w:val="00095E5F"/>
    <w:rsid w:val="0009699F"/>
    <w:rsid w:val="000A288E"/>
    <w:rsid w:val="000A2E24"/>
    <w:rsid w:val="000A31D5"/>
    <w:rsid w:val="000A6386"/>
    <w:rsid w:val="000B03AD"/>
    <w:rsid w:val="000B09E2"/>
    <w:rsid w:val="000B2B72"/>
    <w:rsid w:val="000B3089"/>
    <w:rsid w:val="000B3A42"/>
    <w:rsid w:val="000B5AF8"/>
    <w:rsid w:val="000B6271"/>
    <w:rsid w:val="000C1B88"/>
    <w:rsid w:val="000D03C7"/>
    <w:rsid w:val="000D187D"/>
    <w:rsid w:val="000D1E1C"/>
    <w:rsid w:val="000D4A0C"/>
    <w:rsid w:val="000D561B"/>
    <w:rsid w:val="000E01BB"/>
    <w:rsid w:val="000E24D4"/>
    <w:rsid w:val="000E3B23"/>
    <w:rsid w:val="000E49EA"/>
    <w:rsid w:val="000E4C45"/>
    <w:rsid w:val="000E516B"/>
    <w:rsid w:val="000F535E"/>
    <w:rsid w:val="00102CDD"/>
    <w:rsid w:val="00103512"/>
    <w:rsid w:val="00110A98"/>
    <w:rsid w:val="001111D9"/>
    <w:rsid w:val="00111B3F"/>
    <w:rsid w:val="00111DE7"/>
    <w:rsid w:val="00112A04"/>
    <w:rsid w:val="001142DA"/>
    <w:rsid w:val="0011452C"/>
    <w:rsid w:val="00114BA3"/>
    <w:rsid w:val="00115CC5"/>
    <w:rsid w:val="00115E1C"/>
    <w:rsid w:val="00116EFB"/>
    <w:rsid w:val="001231BF"/>
    <w:rsid w:val="00123FDF"/>
    <w:rsid w:val="0012567B"/>
    <w:rsid w:val="00126BEC"/>
    <w:rsid w:val="00127FEB"/>
    <w:rsid w:val="001355BC"/>
    <w:rsid w:val="00137AFD"/>
    <w:rsid w:val="00137FCE"/>
    <w:rsid w:val="00140F4C"/>
    <w:rsid w:val="001410C8"/>
    <w:rsid w:val="001423EC"/>
    <w:rsid w:val="00142EAE"/>
    <w:rsid w:val="0014391A"/>
    <w:rsid w:val="00143DCF"/>
    <w:rsid w:val="00144341"/>
    <w:rsid w:val="00151269"/>
    <w:rsid w:val="00151E39"/>
    <w:rsid w:val="00153100"/>
    <w:rsid w:val="001608C4"/>
    <w:rsid w:val="00161982"/>
    <w:rsid w:val="00163CC8"/>
    <w:rsid w:val="00167490"/>
    <w:rsid w:val="00176952"/>
    <w:rsid w:val="001876C5"/>
    <w:rsid w:val="00193064"/>
    <w:rsid w:val="00196091"/>
    <w:rsid w:val="0019698B"/>
    <w:rsid w:val="001A021F"/>
    <w:rsid w:val="001A2186"/>
    <w:rsid w:val="001A3A91"/>
    <w:rsid w:val="001A6B48"/>
    <w:rsid w:val="001A7DD6"/>
    <w:rsid w:val="001B068B"/>
    <w:rsid w:val="001B088B"/>
    <w:rsid w:val="001B37C5"/>
    <w:rsid w:val="001B4892"/>
    <w:rsid w:val="001B605D"/>
    <w:rsid w:val="001C1DA7"/>
    <w:rsid w:val="001C619D"/>
    <w:rsid w:val="001D2E73"/>
    <w:rsid w:val="001D62AA"/>
    <w:rsid w:val="001D667B"/>
    <w:rsid w:val="001E2174"/>
    <w:rsid w:val="001E767C"/>
    <w:rsid w:val="001F0496"/>
    <w:rsid w:val="001F1133"/>
    <w:rsid w:val="001F1175"/>
    <w:rsid w:val="001F277B"/>
    <w:rsid w:val="001F2C56"/>
    <w:rsid w:val="001F4076"/>
    <w:rsid w:val="001F4723"/>
    <w:rsid w:val="001F5027"/>
    <w:rsid w:val="001F597F"/>
    <w:rsid w:val="001F6884"/>
    <w:rsid w:val="002013A7"/>
    <w:rsid w:val="002023FC"/>
    <w:rsid w:val="00202610"/>
    <w:rsid w:val="002042F8"/>
    <w:rsid w:val="00205A13"/>
    <w:rsid w:val="00206087"/>
    <w:rsid w:val="002062D4"/>
    <w:rsid w:val="00207DAB"/>
    <w:rsid w:val="0021112A"/>
    <w:rsid w:val="002118EC"/>
    <w:rsid w:val="00216026"/>
    <w:rsid w:val="0021652D"/>
    <w:rsid w:val="00224FAC"/>
    <w:rsid w:val="00232A3C"/>
    <w:rsid w:val="00232E74"/>
    <w:rsid w:val="00233AE0"/>
    <w:rsid w:val="00236CFC"/>
    <w:rsid w:val="00240735"/>
    <w:rsid w:val="00241E8C"/>
    <w:rsid w:val="00241F4C"/>
    <w:rsid w:val="00243B01"/>
    <w:rsid w:val="0024650E"/>
    <w:rsid w:val="002467DA"/>
    <w:rsid w:val="00250407"/>
    <w:rsid w:val="00250975"/>
    <w:rsid w:val="002523DB"/>
    <w:rsid w:val="002545FD"/>
    <w:rsid w:val="002564E9"/>
    <w:rsid w:val="002570B8"/>
    <w:rsid w:val="0026054E"/>
    <w:rsid w:val="002629A8"/>
    <w:rsid w:val="00263757"/>
    <w:rsid w:val="002638E7"/>
    <w:rsid w:val="002648A2"/>
    <w:rsid w:val="002653E0"/>
    <w:rsid w:val="002654BC"/>
    <w:rsid w:val="00274345"/>
    <w:rsid w:val="00274C61"/>
    <w:rsid w:val="00275D08"/>
    <w:rsid w:val="002761C7"/>
    <w:rsid w:val="00277905"/>
    <w:rsid w:val="00284FFF"/>
    <w:rsid w:val="0028650E"/>
    <w:rsid w:val="00287B8E"/>
    <w:rsid w:val="00290D30"/>
    <w:rsid w:val="00291D2A"/>
    <w:rsid w:val="002927D3"/>
    <w:rsid w:val="002929A9"/>
    <w:rsid w:val="00296701"/>
    <w:rsid w:val="00297DFA"/>
    <w:rsid w:val="002A2B8B"/>
    <w:rsid w:val="002A2F19"/>
    <w:rsid w:val="002A3E94"/>
    <w:rsid w:val="002A7527"/>
    <w:rsid w:val="002B19E3"/>
    <w:rsid w:val="002B2BFA"/>
    <w:rsid w:val="002B2CB2"/>
    <w:rsid w:val="002B46F7"/>
    <w:rsid w:val="002B5F65"/>
    <w:rsid w:val="002B74C2"/>
    <w:rsid w:val="002C128D"/>
    <w:rsid w:val="002C5B40"/>
    <w:rsid w:val="002D7477"/>
    <w:rsid w:val="002E39EC"/>
    <w:rsid w:val="002F1CB6"/>
    <w:rsid w:val="002F3352"/>
    <w:rsid w:val="002F6189"/>
    <w:rsid w:val="002F69BB"/>
    <w:rsid w:val="002F6D51"/>
    <w:rsid w:val="002F7EFD"/>
    <w:rsid w:val="00301348"/>
    <w:rsid w:val="0030255E"/>
    <w:rsid w:val="00310C95"/>
    <w:rsid w:val="00312BE9"/>
    <w:rsid w:val="00312C98"/>
    <w:rsid w:val="00312D72"/>
    <w:rsid w:val="00316862"/>
    <w:rsid w:val="00321047"/>
    <w:rsid w:val="0032299F"/>
    <w:rsid w:val="003264E4"/>
    <w:rsid w:val="00327111"/>
    <w:rsid w:val="003301B5"/>
    <w:rsid w:val="0033180B"/>
    <w:rsid w:val="00336355"/>
    <w:rsid w:val="003416FB"/>
    <w:rsid w:val="00344BCB"/>
    <w:rsid w:val="00346845"/>
    <w:rsid w:val="0035124C"/>
    <w:rsid w:val="0035172E"/>
    <w:rsid w:val="00353B4C"/>
    <w:rsid w:val="00353F13"/>
    <w:rsid w:val="00355336"/>
    <w:rsid w:val="0035698F"/>
    <w:rsid w:val="00361FFA"/>
    <w:rsid w:val="00364916"/>
    <w:rsid w:val="00365074"/>
    <w:rsid w:val="00374D0F"/>
    <w:rsid w:val="00376352"/>
    <w:rsid w:val="003813D5"/>
    <w:rsid w:val="00382E6B"/>
    <w:rsid w:val="003851F2"/>
    <w:rsid w:val="00387BFF"/>
    <w:rsid w:val="003902F4"/>
    <w:rsid w:val="003932A5"/>
    <w:rsid w:val="0039433B"/>
    <w:rsid w:val="003A1F5C"/>
    <w:rsid w:val="003A25E8"/>
    <w:rsid w:val="003A4040"/>
    <w:rsid w:val="003A4ABD"/>
    <w:rsid w:val="003A53FB"/>
    <w:rsid w:val="003A5D74"/>
    <w:rsid w:val="003A7A00"/>
    <w:rsid w:val="003B1B64"/>
    <w:rsid w:val="003B323C"/>
    <w:rsid w:val="003B6D45"/>
    <w:rsid w:val="003B7851"/>
    <w:rsid w:val="003C42AC"/>
    <w:rsid w:val="003C5DE5"/>
    <w:rsid w:val="003D5B26"/>
    <w:rsid w:val="003D5D21"/>
    <w:rsid w:val="003D5FAA"/>
    <w:rsid w:val="003E638A"/>
    <w:rsid w:val="003E7E93"/>
    <w:rsid w:val="003F03D8"/>
    <w:rsid w:val="003F3BCE"/>
    <w:rsid w:val="003F3F38"/>
    <w:rsid w:val="003F7DE6"/>
    <w:rsid w:val="00400D00"/>
    <w:rsid w:val="00405CC3"/>
    <w:rsid w:val="00406375"/>
    <w:rsid w:val="004067B0"/>
    <w:rsid w:val="0041149E"/>
    <w:rsid w:val="00414010"/>
    <w:rsid w:val="00414916"/>
    <w:rsid w:val="0042091B"/>
    <w:rsid w:val="004223AE"/>
    <w:rsid w:val="00423CBF"/>
    <w:rsid w:val="00423FB4"/>
    <w:rsid w:val="004308BD"/>
    <w:rsid w:val="00435C14"/>
    <w:rsid w:val="00437A73"/>
    <w:rsid w:val="00437AF6"/>
    <w:rsid w:val="00444288"/>
    <w:rsid w:val="004527CD"/>
    <w:rsid w:val="00454881"/>
    <w:rsid w:val="004562B0"/>
    <w:rsid w:val="004573D6"/>
    <w:rsid w:val="004574D7"/>
    <w:rsid w:val="00460D34"/>
    <w:rsid w:val="00462D37"/>
    <w:rsid w:val="00466398"/>
    <w:rsid w:val="004701DB"/>
    <w:rsid w:val="00470BE6"/>
    <w:rsid w:val="004714CA"/>
    <w:rsid w:val="00471A13"/>
    <w:rsid w:val="00471FBC"/>
    <w:rsid w:val="0047563A"/>
    <w:rsid w:val="004816DD"/>
    <w:rsid w:val="00481E49"/>
    <w:rsid w:val="004862F5"/>
    <w:rsid w:val="00486703"/>
    <w:rsid w:val="00487A36"/>
    <w:rsid w:val="00492AF3"/>
    <w:rsid w:val="004951E9"/>
    <w:rsid w:val="00496192"/>
    <w:rsid w:val="004968B9"/>
    <w:rsid w:val="004A0638"/>
    <w:rsid w:val="004A56F3"/>
    <w:rsid w:val="004A7047"/>
    <w:rsid w:val="004B7A46"/>
    <w:rsid w:val="004C21AE"/>
    <w:rsid w:val="004C5119"/>
    <w:rsid w:val="004C7C8E"/>
    <w:rsid w:val="004D6733"/>
    <w:rsid w:val="004E3DBB"/>
    <w:rsid w:val="004E4532"/>
    <w:rsid w:val="004E74C8"/>
    <w:rsid w:val="004F242B"/>
    <w:rsid w:val="004F46FE"/>
    <w:rsid w:val="004F53A1"/>
    <w:rsid w:val="004F5453"/>
    <w:rsid w:val="005011D9"/>
    <w:rsid w:val="005027E6"/>
    <w:rsid w:val="005038A8"/>
    <w:rsid w:val="005107B8"/>
    <w:rsid w:val="00510874"/>
    <w:rsid w:val="00510D63"/>
    <w:rsid w:val="00510E8D"/>
    <w:rsid w:val="005142A3"/>
    <w:rsid w:val="00515B56"/>
    <w:rsid w:val="00520C31"/>
    <w:rsid w:val="005239E1"/>
    <w:rsid w:val="005262CE"/>
    <w:rsid w:val="00527966"/>
    <w:rsid w:val="00530B58"/>
    <w:rsid w:val="00533225"/>
    <w:rsid w:val="005349D3"/>
    <w:rsid w:val="0053677B"/>
    <w:rsid w:val="00536A14"/>
    <w:rsid w:val="00536BCB"/>
    <w:rsid w:val="00540F5D"/>
    <w:rsid w:val="00541E56"/>
    <w:rsid w:val="0054444A"/>
    <w:rsid w:val="00544E95"/>
    <w:rsid w:val="00545DAE"/>
    <w:rsid w:val="005461DE"/>
    <w:rsid w:val="005467FA"/>
    <w:rsid w:val="00546A2F"/>
    <w:rsid w:val="00551274"/>
    <w:rsid w:val="00563FCD"/>
    <w:rsid w:val="00570068"/>
    <w:rsid w:val="005711A3"/>
    <w:rsid w:val="005723E7"/>
    <w:rsid w:val="005740D2"/>
    <w:rsid w:val="00574E63"/>
    <w:rsid w:val="00576F6D"/>
    <w:rsid w:val="0058091C"/>
    <w:rsid w:val="00581ADA"/>
    <w:rsid w:val="005844FB"/>
    <w:rsid w:val="0058501C"/>
    <w:rsid w:val="00596005"/>
    <w:rsid w:val="005B005C"/>
    <w:rsid w:val="005B3760"/>
    <w:rsid w:val="005B495F"/>
    <w:rsid w:val="005C1312"/>
    <w:rsid w:val="005C277E"/>
    <w:rsid w:val="005C4656"/>
    <w:rsid w:val="005C4F30"/>
    <w:rsid w:val="005C6C96"/>
    <w:rsid w:val="005D5C47"/>
    <w:rsid w:val="005E402F"/>
    <w:rsid w:val="005E7319"/>
    <w:rsid w:val="005E791A"/>
    <w:rsid w:val="005F0A1C"/>
    <w:rsid w:val="005F4A56"/>
    <w:rsid w:val="006002BB"/>
    <w:rsid w:val="00601418"/>
    <w:rsid w:val="006047CF"/>
    <w:rsid w:val="006059AE"/>
    <w:rsid w:val="0060635D"/>
    <w:rsid w:val="006065C9"/>
    <w:rsid w:val="006127AF"/>
    <w:rsid w:val="0061307F"/>
    <w:rsid w:val="006215B5"/>
    <w:rsid w:val="00621E48"/>
    <w:rsid w:val="006230BA"/>
    <w:rsid w:val="006232E9"/>
    <w:rsid w:val="0062767F"/>
    <w:rsid w:val="00634BCF"/>
    <w:rsid w:val="006350E5"/>
    <w:rsid w:val="00635FED"/>
    <w:rsid w:val="00636052"/>
    <w:rsid w:val="00636180"/>
    <w:rsid w:val="00636C8C"/>
    <w:rsid w:val="00640032"/>
    <w:rsid w:val="00640D99"/>
    <w:rsid w:val="006505AD"/>
    <w:rsid w:val="00656DED"/>
    <w:rsid w:val="00657217"/>
    <w:rsid w:val="0066033A"/>
    <w:rsid w:val="00661043"/>
    <w:rsid w:val="006619CA"/>
    <w:rsid w:val="00661EA0"/>
    <w:rsid w:val="006637E3"/>
    <w:rsid w:val="006671F2"/>
    <w:rsid w:val="00667EED"/>
    <w:rsid w:val="0067147B"/>
    <w:rsid w:val="00671830"/>
    <w:rsid w:val="006733C3"/>
    <w:rsid w:val="00682699"/>
    <w:rsid w:val="0068692D"/>
    <w:rsid w:val="006911B9"/>
    <w:rsid w:val="00691E1C"/>
    <w:rsid w:val="00694FB7"/>
    <w:rsid w:val="0069692D"/>
    <w:rsid w:val="00697FA5"/>
    <w:rsid w:val="006A0553"/>
    <w:rsid w:val="006A0CD9"/>
    <w:rsid w:val="006A4301"/>
    <w:rsid w:val="006A4953"/>
    <w:rsid w:val="006A5517"/>
    <w:rsid w:val="006B1233"/>
    <w:rsid w:val="006B1AD8"/>
    <w:rsid w:val="006B2E03"/>
    <w:rsid w:val="006B36D6"/>
    <w:rsid w:val="006B4695"/>
    <w:rsid w:val="006B68D2"/>
    <w:rsid w:val="006B74BE"/>
    <w:rsid w:val="006C0067"/>
    <w:rsid w:val="006C3814"/>
    <w:rsid w:val="006C3CB4"/>
    <w:rsid w:val="006D11F1"/>
    <w:rsid w:val="006D1F44"/>
    <w:rsid w:val="006D348E"/>
    <w:rsid w:val="006D49E7"/>
    <w:rsid w:val="006E07AE"/>
    <w:rsid w:val="006E133C"/>
    <w:rsid w:val="006E33CB"/>
    <w:rsid w:val="006E351B"/>
    <w:rsid w:val="006E3F7F"/>
    <w:rsid w:val="006E403E"/>
    <w:rsid w:val="006E4464"/>
    <w:rsid w:val="006E70F7"/>
    <w:rsid w:val="006E7999"/>
    <w:rsid w:val="006F2944"/>
    <w:rsid w:val="006F4563"/>
    <w:rsid w:val="006F46A1"/>
    <w:rsid w:val="006F4F27"/>
    <w:rsid w:val="0070062A"/>
    <w:rsid w:val="0070122B"/>
    <w:rsid w:val="00701E77"/>
    <w:rsid w:val="0070248A"/>
    <w:rsid w:val="00703D6D"/>
    <w:rsid w:val="0070488D"/>
    <w:rsid w:val="0070494C"/>
    <w:rsid w:val="00704A3A"/>
    <w:rsid w:val="007069A6"/>
    <w:rsid w:val="007102D5"/>
    <w:rsid w:val="0071088F"/>
    <w:rsid w:val="00711119"/>
    <w:rsid w:val="007144CA"/>
    <w:rsid w:val="00714748"/>
    <w:rsid w:val="00714C61"/>
    <w:rsid w:val="0071539E"/>
    <w:rsid w:val="00715409"/>
    <w:rsid w:val="00715707"/>
    <w:rsid w:val="0071747A"/>
    <w:rsid w:val="007176A8"/>
    <w:rsid w:val="00717FE8"/>
    <w:rsid w:val="00723E9B"/>
    <w:rsid w:val="00724477"/>
    <w:rsid w:val="00724E75"/>
    <w:rsid w:val="007279D5"/>
    <w:rsid w:val="00731232"/>
    <w:rsid w:val="00734E6E"/>
    <w:rsid w:val="00737B86"/>
    <w:rsid w:val="00737CB5"/>
    <w:rsid w:val="00741120"/>
    <w:rsid w:val="00741406"/>
    <w:rsid w:val="00750EE3"/>
    <w:rsid w:val="00750F0A"/>
    <w:rsid w:val="00754F30"/>
    <w:rsid w:val="00757C51"/>
    <w:rsid w:val="0076239A"/>
    <w:rsid w:val="007633D8"/>
    <w:rsid w:val="0076356B"/>
    <w:rsid w:val="00764A79"/>
    <w:rsid w:val="00772DEA"/>
    <w:rsid w:val="00773B8A"/>
    <w:rsid w:val="007744ED"/>
    <w:rsid w:val="00774C8A"/>
    <w:rsid w:val="00777127"/>
    <w:rsid w:val="0078039F"/>
    <w:rsid w:val="00781786"/>
    <w:rsid w:val="00781A4E"/>
    <w:rsid w:val="007823C8"/>
    <w:rsid w:val="0078792E"/>
    <w:rsid w:val="00791A55"/>
    <w:rsid w:val="007A0D26"/>
    <w:rsid w:val="007A12F4"/>
    <w:rsid w:val="007A323A"/>
    <w:rsid w:val="007A621B"/>
    <w:rsid w:val="007A6429"/>
    <w:rsid w:val="007B23A4"/>
    <w:rsid w:val="007B50AC"/>
    <w:rsid w:val="007C33C2"/>
    <w:rsid w:val="007D08CD"/>
    <w:rsid w:val="007D0B23"/>
    <w:rsid w:val="007D61CB"/>
    <w:rsid w:val="007E0842"/>
    <w:rsid w:val="007E17CE"/>
    <w:rsid w:val="007E1C6E"/>
    <w:rsid w:val="007E6DFB"/>
    <w:rsid w:val="007F04C5"/>
    <w:rsid w:val="007F07F9"/>
    <w:rsid w:val="007F1BC5"/>
    <w:rsid w:val="007F2C30"/>
    <w:rsid w:val="007F58CA"/>
    <w:rsid w:val="007F7DF5"/>
    <w:rsid w:val="008005F7"/>
    <w:rsid w:val="00803C2A"/>
    <w:rsid w:val="00807C63"/>
    <w:rsid w:val="00810A76"/>
    <w:rsid w:val="00811751"/>
    <w:rsid w:val="00814127"/>
    <w:rsid w:val="00814FE2"/>
    <w:rsid w:val="00815394"/>
    <w:rsid w:val="00816D9B"/>
    <w:rsid w:val="00824ED5"/>
    <w:rsid w:val="008265E0"/>
    <w:rsid w:val="00826F5F"/>
    <w:rsid w:val="00830AE4"/>
    <w:rsid w:val="00830C34"/>
    <w:rsid w:val="008339B1"/>
    <w:rsid w:val="008351BF"/>
    <w:rsid w:val="008411F8"/>
    <w:rsid w:val="00846772"/>
    <w:rsid w:val="008502F8"/>
    <w:rsid w:val="00850795"/>
    <w:rsid w:val="0085082D"/>
    <w:rsid w:val="008513D2"/>
    <w:rsid w:val="00851591"/>
    <w:rsid w:val="00852691"/>
    <w:rsid w:val="008529E1"/>
    <w:rsid w:val="0085445B"/>
    <w:rsid w:val="00855A34"/>
    <w:rsid w:val="00856929"/>
    <w:rsid w:val="008575FA"/>
    <w:rsid w:val="008600CF"/>
    <w:rsid w:val="00861FE9"/>
    <w:rsid w:val="008621C2"/>
    <w:rsid w:val="00871D1E"/>
    <w:rsid w:val="00872321"/>
    <w:rsid w:val="008729D9"/>
    <w:rsid w:val="00873D29"/>
    <w:rsid w:val="00874DDE"/>
    <w:rsid w:val="00876AB2"/>
    <w:rsid w:val="00877B30"/>
    <w:rsid w:val="00880882"/>
    <w:rsid w:val="00883187"/>
    <w:rsid w:val="00884FA1"/>
    <w:rsid w:val="0088749A"/>
    <w:rsid w:val="00893F5F"/>
    <w:rsid w:val="008954CE"/>
    <w:rsid w:val="008A007D"/>
    <w:rsid w:val="008A3FE9"/>
    <w:rsid w:val="008A54B1"/>
    <w:rsid w:val="008A622A"/>
    <w:rsid w:val="008A655E"/>
    <w:rsid w:val="008B23B0"/>
    <w:rsid w:val="008B36DE"/>
    <w:rsid w:val="008B57DB"/>
    <w:rsid w:val="008B735D"/>
    <w:rsid w:val="008B7502"/>
    <w:rsid w:val="008B7EE9"/>
    <w:rsid w:val="008C15A6"/>
    <w:rsid w:val="008C18B9"/>
    <w:rsid w:val="008C20C7"/>
    <w:rsid w:val="008C54B8"/>
    <w:rsid w:val="008C5A69"/>
    <w:rsid w:val="008D2D1D"/>
    <w:rsid w:val="008D4649"/>
    <w:rsid w:val="008E1AA0"/>
    <w:rsid w:val="008E1ECC"/>
    <w:rsid w:val="008E3ECC"/>
    <w:rsid w:val="008E70B3"/>
    <w:rsid w:val="008F3E33"/>
    <w:rsid w:val="008F421E"/>
    <w:rsid w:val="008F467F"/>
    <w:rsid w:val="008F644E"/>
    <w:rsid w:val="00904997"/>
    <w:rsid w:val="00915D23"/>
    <w:rsid w:val="00915EC6"/>
    <w:rsid w:val="009205B7"/>
    <w:rsid w:val="00922729"/>
    <w:rsid w:val="009238CC"/>
    <w:rsid w:val="00923FBB"/>
    <w:rsid w:val="00924C6D"/>
    <w:rsid w:val="00926374"/>
    <w:rsid w:val="0092687F"/>
    <w:rsid w:val="009330F1"/>
    <w:rsid w:val="00934221"/>
    <w:rsid w:val="009344BE"/>
    <w:rsid w:val="00936F4F"/>
    <w:rsid w:val="009441FC"/>
    <w:rsid w:val="0094549B"/>
    <w:rsid w:val="00951128"/>
    <w:rsid w:val="009524FA"/>
    <w:rsid w:val="00954360"/>
    <w:rsid w:val="00962689"/>
    <w:rsid w:val="0096392C"/>
    <w:rsid w:val="00975330"/>
    <w:rsid w:val="0097771F"/>
    <w:rsid w:val="00977C6B"/>
    <w:rsid w:val="009803E2"/>
    <w:rsid w:val="00983245"/>
    <w:rsid w:val="0098517A"/>
    <w:rsid w:val="0098758F"/>
    <w:rsid w:val="00992B2E"/>
    <w:rsid w:val="00993CE7"/>
    <w:rsid w:val="0099484D"/>
    <w:rsid w:val="00996C11"/>
    <w:rsid w:val="009A06F4"/>
    <w:rsid w:val="009A2134"/>
    <w:rsid w:val="009A3538"/>
    <w:rsid w:val="009A6F4A"/>
    <w:rsid w:val="009A7B35"/>
    <w:rsid w:val="009A7FDB"/>
    <w:rsid w:val="009B163A"/>
    <w:rsid w:val="009B3585"/>
    <w:rsid w:val="009B4B09"/>
    <w:rsid w:val="009B5353"/>
    <w:rsid w:val="009B6813"/>
    <w:rsid w:val="009C4E0D"/>
    <w:rsid w:val="009E1F6B"/>
    <w:rsid w:val="009E7FDA"/>
    <w:rsid w:val="009F117F"/>
    <w:rsid w:val="009F46EA"/>
    <w:rsid w:val="009F534F"/>
    <w:rsid w:val="009F6604"/>
    <w:rsid w:val="009F72DC"/>
    <w:rsid w:val="009F783D"/>
    <w:rsid w:val="00A07378"/>
    <w:rsid w:val="00A11014"/>
    <w:rsid w:val="00A1109D"/>
    <w:rsid w:val="00A121D7"/>
    <w:rsid w:val="00A132A5"/>
    <w:rsid w:val="00A145D1"/>
    <w:rsid w:val="00A213E6"/>
    <w:rsid w:val="00A21526"/>
    <w:rsid w:val="00A22A73"/>
    <w:rsid w:val="00A22F2F"/>
    <w:rsid w:val="00A250EF"/>
    <w:rsid w:val="00A261C7"/>
    <w:rsid w:val="00A31DE5"/>
    <w:rsid w:val="00A34EF8"/>
    <w:rsid w:val="00A3787C"/>
    <w:rsid w:val="00A42125"/>
    <w:rsid w:val="00A43184"/>
    <w:rsid w:val="00A527C1"/>
    <w:rsid w:val="00A5470E"/>
    <w:rsid w:val="00A54B47"/>
    <w:rsid w:val="00A56543"/>
    <w:rsid w:val="00A57936"/>
    <w:rsid w:val="00A64161"/>
    <w:rsid w:val="00A64EE8"/>
    <w:rsid w:val="00A70904"/>
    <w:rsid w:val="00A76DD4"/>
    <w:rsid w:val="00A779EE"/>
    <w:rsid w:val="00A82553"/>
    <w:rsid w:val="00A852F0"/>
    <w:rsid w:val="00A86BED"/>
    <w:rsid w:val="00A91F42"/>
    <w:rsid w:val="00A96786"/>
    <w:rsid w:val="00A97B7E"/>
    <w:rsid w:val="00AA0EFF"/>
    <w:rsid w:val="00AA432C"/>
    <w:rsid w:val="00AA6816"/>
    <w:rsid w:val="00AB30D2"/>
    <w:rsid w:val="00AB7024"/>
    <w:rsid w:val="00AB7BBD"/>
    <w:rsid w:val="00AB7D04"/>
    <w:rsid w:val="00AB7D43"/>
    <w:rsid w:val="00AC30DE"/>
    <w:rsid w:val="00AC54A8"/>
    <w:rsid w:val="00AD14B0"/>
    <w:rsid w:val="00AD73C8"/>
    <w:rsid w:val="00AE0977"/>
    <w:rsid w:val="00AE55F0"/>
    <w:rsid w:val="00AE67E1"/>
    <w:rsid w:val="00AF011B"/>
    <w:rsid w:val="00AF75A1"/>
    <w:rsid w:val="00AF77E1"/>
    <w:rsid w:val="00B054F7"/>
    <w:rsid w:val="00B14FBA"/>
    <w:rsid w:val="00B16234"/>
    <w:rsid w:val="00B16765"/>
    <w:rsid w:val="00B171C6"/>
    <w:rsid w:val="00B17D95"/>
    <w:rsid w:val="00B20A1A"/>
    <w:rsid w:val="00B22ED2"/>
    <w:rsid w:val="00B232C9"/>
    <w:rsid w:val="00B25511"/>
    <w:rsid w:val="00B27FCE"/>
    <w:rsid w:val="00B32463"/>
    <w:rsid w:val="00B3369E"/>
    <w:rsid w:val="00B379C1"/>
    <w:rsid w:val="00B40B00"/>
    <w:rsid w:val="00B41D7D"/>
    <w:rsid w:val="00B42432"/>
    <w:rsid w:val="00B44B55"/>
    <w:rsid w:val="00B459B2"/>
    <w:rsid w:val="00B473A7"/>
    <w:rsid w:val="00B47BA8"/>
    <w:rsid w:val="00B52EB6"/>
    <w:rsid w:val="00B531E2"/>
    <w:rsid w:val="00B53698"/>
    <w:rsid w:val="00B55D27"/>
    <w:rsid w:val="00B5602F"/>
    <w:rsid w:val="00B621B4"/>
    <w:rsid w:val="00B623A3"/>
    <w:rsid w:val="00B63AB9"/>
    <w:rsid w:val="00B64327"/>
    <w:rsid w:val="00B7074E"/>
    <w:rsid w:val="00B71CED"/>
    <w:rsid w:val="00B72F85"/>
    <w:rsid w:val="00B732BE"/>
    <w:rsid w:val="00B73F85"/>
    <w:rsid w:val="00B75A0C"/>
    <w:rsid w:val="00B7600E"/>
    <w:rsid w:val="00B769D6"/>
    <w:rsid w:val="00B771DD"/>
    <w:rsid w:val="00B77DEA"/>
    <w:rsid w:val="00B80766"/>
    <w:rsid w:val="00B80E02"/>
    <w:rsid w:val="00B81BD2"/>
    <w:rsid w:val="00B86C8D"/>
    <w:rsid w:val="00B94045"/>
    <w:rsid w:val="00B94CCA"/>
    <w:rsid w:val="00BA0FEA"/>
    <w:rsid w:val="00BA2161"/>
    <w:rsid w:val="00BA50FE"/>
    <w:rsid w:val="00BA5FE0"/>
    <w:rsid w:val="00BA7556"/>
    <w:rsid w:val="00BB061F"/>
    <w:rsid w:val="00BB0FB6"/>
    <w:rsid w:val="00BB37BE"/>
    <w:rsid w:val="00BB3F4C"/>
    <w:rsid w:val="00BB6E99"/>
    <w:rsid w:val="00BB74B4"/>
    <w:rsid w:val="00BC023C"/>
    <w:rsid w:val="00BC06E7"/>
    <w:rsid w:val="00BC2580"/>
    <w:rsid w:val="00BC59C7"/>
    <w:rsid w:val="00BC6E1B"/>
    <w:rsid w:val="00BC7150"/>
    <w:rsid w:val="00BD0FA1"/>
    <w:rsid w:val="00BD0FD3"/>
    <w:rsid w:val="00BD330E"/>
    <w:rsid w:val="00BD3D99"/>
    <w:rsid w:val="00BD6611"/>
    <w:rsid w:val="00BE03D7"/>
    <w:rsid w:val="00BE3CCB"/>
    <w:rsid w:val="00BE5714"/>
    <w:rsid w:val="00BE6D04"/>
    <w:rsid w:val="00BE764F"/>
    <w:rsid w:val="00BE7B1C"/>
    <w:rsid w:val="00BF116A"/>
    <w:rsid w:val="00BF4A7B"/>
    <w:rsid w:val="00BF65AE"/>
    <w:rsid w:val="00C00BC5"/>
    <w:rsid w:val="00C044AA"/>
    <w:rsid w:val="00C05427"/>
    <w:rsid w:val="00C10CBC"/>
    <w:rsid w:val="00C12B45"/>
    <w:rsid w:val="00C1328F"/>
    <w:rsid w:val="00C15E39"/>
    <w:rsid w:val="00C160FB"/>
    <w:rsid w:val="00C21748"/>
    <w:rsid w:val="00C22550"/>
    <w:rsid w:val="00C23C5D"/>
    <w:rsid w:val="00C266A6"/>
    <w:rsid w:val="00C303C3"/>
    <w:rsid w:val="00C349DF"/>
    <w:rsid w:val="00C368C7"/>
    <w:rsid w:val="00C40DC8"/>
    <w:rsid w:val="00C43310"/>
    <w:rsid w:val="00C45670"/>
    <w:rsid w:val="00C45D74"/>
    <w:rsid w:val="00C477B3"/>
    <w:rsid w:val="00C51166"/>
    <w:rsid w:val="00C51CB5"/>
    <w:rsid w:val="00C549BF"/>
    <w:rsid w:val="00C55B03"/>
    <w:rsid w:val="00C60596"/>
    <w:rsid w:val="00C60761"/>
    <w:rsid w:val="00C61D3D"/>
    <w:rsid w:val="00C635B7"/>
    <w:rsid w:val="00C66579"/>
    <w:rsid w:val="00C703BC"/>
    <w:rsid w:val="00C7271C"/>
    <w:rsid w:val="00C74FA1"/>
    <w:rsid w:val="00C75BA6"/>
    <w:rsid w:val="00C77CED"/>
    <w:rsid w:val="00C8275B"/>
    <w:rsid w:val="00C84B30"/>
    <w:rsid w:val="00C916FD"/>
    <w:rsid w:val="00C937A3"/>
    <w:rsid w:val="00C94633"/>
    <w:rsid w:val="00C954FE"/>
    <w:rsid w:val="00CA0158"/>
    <w:rsid w:val="00CA15E1"/>
    <w:rsid w:val="00CA203E"/>
    <w:rsid w:val="00CA3570"/>
    <w:rsid w:val="00CA3B88"/>
    <w:rsid w:val="00CA63F6"/>
    <w:rsid w:val="00CA79CC"/>
    <w:rsid w:val="00CB1623"/>
    <w:rsid w:val="00CB3858"/>
    <w:rsid w:val="00CB5FB7"/>
    <w:rsid w:val="00CB751A"/>
    <w:rsid w:val="00CC3F69"/>
    <w:rsid w:val="00CC44B4"/>
    <w:rsid w:val="00CC685C"/>
    <w:rsid w:val="00CC6B9F"/>
    <w:rsid w:val="00CD0825"/>
    <w:rsid w:val="00CD5303"/>
    <w:rsid w:val="00CD7C89"/>
    <w:rsid w:val="00CE22E0"/>
    <w:rsid w:val="00CE39FA"/>
    <w:rsid w:val="00CF0DAE"/>
    <w:rsid w:val="00CF462A"/>
    <w:rsid w:val="00CF5211"/>
    <w:rsid w:val="00CF613B"/>
    <w:rsid w:val="00D02970"/>
    <w:rsid w:val="00D02CFD"/>
    <w:rsid w:val="00D07FC7"/>
    <w:rsid w:val="00D11E12"/>
    <w:rsid w:val="00D11EF7"/>
    <w:rsid w:val="00D1236B"/>
    <w:rsid w:val="00D14F81"/>
    <w:rsid w:val="00D16EDD"/>
    <w:rsid w:val="00D23ACE"/>
    <w:rsid w:val="00D24A91"/>
    <w:rsid w:val="00D24CA1"/>
    <w:rsid w:val="00D27730"/>
    <w:rsid w:val="00D31418"/>
    <w:rsid w:val="00D31BE8"/>
    <w:rsid w:val="00D37DF2"/>
    <w:rsid w:val="00D4399C"/>
    <w:rsid w:val="00D5230C"/>
    <w:rsid w:val="00D53247"/>
    <w:rsid w:val="00D532D5"/>
    <w:rsid w:val="00D54B3C"/>
    <w:rsid w:val="00D57314"/>
    <w:rsid w:val="00D57AB1"/>
    <w:rsid w:val="00D6147E"/>
    <w:rsid w:val="00D632AE"/>
    <w:rsid w:val="00D63C96"/>
    <w:rsid w:val="00D6412C"/>
    <w:rsid w:val="00D71481"/>
    <w:rsid w:val="00D71731"/>
    <w:rsid w:val="00D74186"/>
    <w:rsid w:val="00D74A3E"/>
    <w:rsid w:val="00D85BE3"/>
    <w:rsid w:val="00D85FDA"/>
    <w:rsid w:val="00D92B41"/>
    <w:rsid w:val="00D95391"/>
    <w:rsid w:val="00D97231"/>
    <w:rsid w:val="00DA20CD"/>
    <w:rsid w:val="00DA29DD"/>
    <w:rsid w:val="00DA4EA0"/>
    <w:rsid w:val="00DB095F"/>
    <w:rsid w:val="00DB1351"/>
    <w:rsid w:val="00DB5884"/>
    <w:rsid w:val="00DB7F83"/>
    <w:rsid w:val="00DC14B0"/>
    <w:rsid w:val="00DC2644"/>
    <w:rsid w:val="00DC4FBD"/>
    <w:rsid w:val="00DC6B29"/>
    <w:rsid w:val="00DC7E5D"/>
    <w:rsid w:val="00DD114E"/>
    <w:rsid w:val="00DD1B8D"/>
    <w:rsid w:val="00DD666B"/>
    <w:rsid w:val="00DD788B"/>
    <w:rsid w:val="00DE24DF"/>
    <w:rsid w:val="00DE44BC"/>
    <w:rsid w:val="00DE49BA"/>
    <w:rsid w:val="00DE5E5D"/>
    <w:rsid w:val="00DF2412"/>
    <w:rsid w:val="00DF57FD"/>
    <w:rsid w:val="00DF704D"/>
    <w:rsid w:val="00E005EF"/>
    <w:rsid w:val="00E015AA"/>
    <w:rsid w:val="00E033F5"/>
    <w:rsid w:val="00E04F2D"/>
    <w:rsid w:val="00E069ED"/>
    <w:rsid w:val="00E07140"/>
    <w:rsid w:val="00E10289"/>
    <w:rsid w:val="00E138D6"/>
    <w:rsid w:val="00E1458E"/>
    <w:rsid w:val="00E178A1"/>
    <w:rsid w:val="00E206BE"/>
    <w:rsid w:val="00E21893"/>
    <w:rsid w:val="00E26C57"/>
    <w:rsid w:val="00E32A75"/>
    <w:rsid w:val="00E33B7A"/>
    <w:rsid w:val="00E44FAC"/>
    <w:rsid w:val="00E45473"/>
    <w:rsid w:val="00E47E2C"/>
    <w:rsid w:val="00E54727"/>
    <w:rsid w:val="00E55A76"/>
    <w:rsid w:val="00E60B2C"/>
    <w:rsid w:val="00E62284"/>
    <w:rsid w:val="00E62654"/>
    <w:rsid w:val="00E64282"/>
    <w:rsid w:val="00E657DC"/>
    <w:rsid w:val="00E7472C"/>
    <w:rsid w:val="00E74BAB"/>
    <w:rsid w:val="00E81B2C"/>
    <w:rsid w:val="00E84019"/>
    <w:rsid w:val="00E856A4"/>
    <w:rsid w:val="00E85B3D"/>
    <w:rsid w:val="00E86F8D"/>
    <w:rsid w:val="00E905F1"/>
    <w:rsid w:val="00E90CA5"/>
    <w:rsid w:val="00E93590"/>
    <w:rsid w:val="00E94A33"/>
    <w:rsid w:val="00E966DF"/>
    <w:rsid w:val="00EA2F5A"/>
    <w:rsid w:val="00EA4C5E"/>
    <w:rsid w:val="00EA6827"/>
    <w:rsid w:val="00EA6ABD"/>
    <w:rsid w:val="00EB3194"/>
    <w:rsid w:val="00EB354D"/>
    <w:rsid w:val="00EB5A5E"/>
    <w:rsid w:val="00EB5C9C"/>
    <w:rsid w:val="00EC5703"/>
    <w:rsid w:val="00EC65F4"/>
    <w:rsid w:val="00EC69EF"/>
    <w:rsid w:val="00ED2CD5"/>
    <w:rsid w:val="00ED2ED6"/>
    <w:rsid w:val="00ED3C8D"/>
    <w:rsid w:val="00ED4F1B"/>
    <w:rsid w:val="00ED6C7B"/>
    <w:rsid w:val="00EE0BAE"/>
    <w:rsid w:val="00EE2AE7"/>
    <w:rsid w:val="00EE3E26"/>
    <w:rsid w:val="00EE4FA9"/>
    <w:rsid w:val="00EE5405"/>
    <w:rsid w:val="00EF2A6A"/>
    <w:rsid w:val="00EF473A"/>
    <w:rsid w:val="00EF58BD"/>
    <w:rsid w:val="00EF6AAE"/>
    <w:rsid w:val="00F037B5"/>
    <w:rsid w:val="00F03846"/>
    <w:rsid w:val="00F0685F"/>
    <w:rsid w:val="00F07068"/>
    <w:rsid w:val="00F1129C"/>
    <w:rsid w:val="00F23EF6"/>
    <w:rsid w:val="00F25A0D"/>
    <w:rsid w:val="00F33207"/>
    <w:rsid w:val="00F400A9"/>
    <w:rsid w:val="00F4469E"/>
    <w:rsid w:val="00F47E4B"/>
    <w:rsid w:val="00F51D45"/>
    <w:rsid w:val="00F541DF"/>
    <w:rsid w:val="00F54934"/>
    <w:rsid w:val="00F56337"/>
    <w:rsid w:val="00F62DBD"/>
    <w:rsid w:val="00F63F55"/>
    <w:rsid w:val="00F7134A"/>
    <w:rsid w:val="00F73520"/>
    <w:rsid w:val="00F745AD"/>
    <w:rsid w:val="00F74D69"/>
    <w:rsid w:val="00F754DF"/>
    <w:rsid w:val="00F802A3"/>
    <w:rsid w:val="00F8206D"/>
    <w:rsid w:val="00F83DD0"/>
    <w:rsid w:val="00F862EC"/>
    <w:rsid w:val="00F93C66"/>
    <w:rsid w:val="00F95071"/>
    <w:rsid w:val="00F972EC"/>
    <w:rsid w:val="00F9754D"/>
    <w:rsid w:val="00F97C4E"/>
    <w:rsid w:val="00FA01D8"/>
    <w:rsid w:val="00FA25AB"/>
    <w:rsid w:val="00FA484F"/>
    <w:rsid w:val="00FB0FD9"/>
    <w:rsid w:val="00FB15C2"/>
    <w:rsid w:val="00FB242D"/>
    <w:rsid w:val="00FB3062"/>
    <w:rsid w:val="00FB4887"/>
    <w:rsid w:val="00FB571E"/>
    <w:rsid w:val="00FC3082"/>
    <w:rsid w:val="00FC3709"/>
    <w:rsid w:val="00FC3D36"/>
    <w:rsid w:val="00FC5A71"/>
    <w:rsid w:val="00FD2362"/>
    <w:rsid w:val="00FD2A35"/>
    <w:rsid w:val="00FD483A"/>
    <w:rsid w:val="00FD4E3D"/>
    <w:rsid w:val="00FD6E3B"/>
    <w:rsid w:val="00FE0150"/>
    <w:rsid w:val="00FE4266"/>
    <w:rsid w:val="00FE556C"/>
    <w:rsid w:val="00FE7306"/>
    <w:rsid w:val="00FE784F"/>
    <w:rsid w:val="00FE79A2"/>
    <w:rsid w:val="00FF288A"/>
    <w:rsid w:val="00FF2F3F"/>
    <w:rsid w:val="00FF3574"/>
    <w:rsid w:val="00FF516E"/>
    <w:rsid w:val="00FF5F2D"/>
    <w:rsid w:val="00FF6420"/>
    <w:rsid w:val="00FF7AA8"/>
    <w:rsid w:val="00FF7D6F"/>
    <w:rsid w:val="00FF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E3380"/>
  <w15:docId w15:val="{CD0E1FF5-EEB4-4180-BB6C-BD50E278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58"/>
    <w:pPr>
      <w:widowControl w:val="0"/>
      <w:autoSpaceDE w:val="0"/>
      <w:autoSpaceDN w:val="0"/>
      <w:adjustRightInd w:val="0"/>
    </w:pPr>
    <w:rPr>
      <w:rFonts w:ascii="Arial" w:eastAsia="Times New Roman" w:hAnsi="Arial" w:cs="Arial"/>
    </w:rPr>
  </w:style>
  <w:style w:type="paragraph" w:styleId="Ttulo1">
    <w:name w:val="heading 1"/>
    <w:basedOn w:val="Normal"/>
    <w:next w:val="Normal"/>
    <w:link w:val="Ttulo1Car"/>
    <w:uiPriority w:val="9"/>
    <w:qFormat/>
    <w:rsid w:val="001A21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F07068"/>
    <w:pPr>
      <w:keepNext/>
      <w:widowControl/>
      <w:spacing w:before="240" w:after="120"/>
      <w:ind w:left="709"/>
      <w:jc w:val="both"/>
      <w:outlineLvl w:val="1"/>
    </w:pPr>
    <w:rPr>
      <w:bCs/>
      <w:i/>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067"/>
    <w:pPr>
      <w:tabs>
        <w:tab w:val="center" w:pos="4252"/>
        <w:tab w:val="right" w:pos="8504"/>
      </w:tabs>
    </w:pPr>
    <w:rPr>
      <w:rFonts w:cs="Times New Roman"/>
    </w:rPr>
  </w:style>
  <w:style w:type="character" w:customStyle="1" w:styleId="EncabezadoCar">
    <w:name w:val="Encabezado Car"/>
    <w:link w:val="Encabezado"/>
    <w:uiPriority w:val="99"/>
    <w:rsid w:val="006C0067"/>
    <w:rPr>
      <w:rFonts w:ascii="Arial" w:eastAsia="Times New Roman" w:hAnsi="Arial" w:cs="Arial"/>
      <w:sz w:val="20"/>
      <w:szCs w:val="20"/>
      <w:lang w:eastAsia="es-ES"/>
    </w:rPr>
  </w:style>
  <w:style w:type="paragraph" w:styleId="Piedepgina">
    <w:name w:val="footer"/>
    <w:basedOn w:val="Normal"/>
    <w:link w:val="PiedepginaCar"/>
    <w:uiPriority w:val="99"/>
    <w:unhideWhenUsed/>
    <w:rsid w:val="006C0067"/>
    <w:pPr>
      <w:tabs>
        <w:tab w:val="center" w:pos="4252"/>
        <w:tab w:val="right" w:pos="8504"/>
      </w:tabs>
    </w:pPr>
    <w:rPr>
      <w:rFonts w:cs="Times New Roman"/>
    </w:rPr>
  </w:style>
  <w:style w:type="character" w:customStyle="1" w:styleId="PiedepginaCar">
    <w:name w:val="Pie de página Car"/>
    <w:link w:val="Piedepgina"/>
    <w:uiPriority w:val="99"/>
    <w:rsid w:val="006C0067"/>
    <w:rPr>
      <w:rFonts w:ascii="Arial" w:eastAsia="Times New Roman" w:hAnsi="Arial" w:cs="Arial"/>
      <w:sz w:val="20"/>
      <w:szCs w:val="20"/>
      <w:lang w:eastAsia="es-ES"/>
    </w:rPr>
  </w:style>
  <w:style w:type="paragraph" w:styleId="Textodeglobo">
    <w:name w:val="Balloon Text"/>
    <w:basedOn w:val="Normal"/>
    <w:link w:val="TextodegloboCar"/>
    <w:uiPriority w:val="99"/>
    <w:semiHidden/>
    <w:unhideWhenUsed/>
    <w:rsid w:val="006C0067"/>
    <w:rPr>
      <w:rFonts w:ascii="Tahoma" w:hAnsi="Tahoma" w:cs="Times New Roman"/>
      <w:sz w:val="16"/>
      <w:szCs w:val="16"/>
    </w:rPr>
  </w:style>
  <w:style w:type="character" w:customStyle="1" w:styleId="TextodegloboCar">
    <w:name w:val="Texto de globo Car"/>
    <w:link w:val="Textodeglobo"/>
    <w:uiPriority w:val="99"/>
    <w:semiHidden/>
    <w:rsid w:val="006C0067"/>
    <w:rPr>
      <w:rFonts w:ascii="Tahoma" w:eastAsia="Times New Roman" w:hAnsi="Tahoma" w:cs="Tahoma"/>
      <w:sz w:val="16"/>
      <w:szCs w:val="16"/>
      <w:lang w:eastAsia="es-ES"/>
    </w:rPr>
  </w:style>
  <w:style w:type="paragraph" w:customStyle="1" w:styleId="Default">
    <w:name w:val="Default"/>
    <w:rsid w:val="006C0067"/>
    <w:pPr>
      <w:widowControl w:val="0"/>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semiHidden/>
    <w:unhideWhenUsed/>
    <w:rsid w:val="006C0067"/>
    <w:rPr>
      <w:sz w:val="16"/>
      <w:szCs w:val="16"/>
    </w:rPr>
  </w:style>
  <w:style w:type="paragraph" w:styleId="Textocomentario">
    <w:name w:val="annotation text"/>
    <w:basedOn w:val="Normal"/>
    <w:link w:val="TextocomentarioCar"/>
    <w:uiPriority w:val="99"/>
    <w:semiHidden/>
    <w:unhideWhenUsed/>
    <w:rsid w:val="006C0067"/>
    <w:rPr>
      <w:rFonts w:cs="Times New Roman"/>
    </w:rPr>
  </w:style>
  <w:style w:type="character" w:customStyle="1" w:styleId="TextocomentarioCar">
    <w:name w:val="Texto comentario Car"/>
    <w:link w:val="Textocomentario"/>
    <w:uiPriority w:val="99"/>
    <w:semiHidden/>
    <w:rsid w:val="006C0067"/>
    <w:rPr>
      <w:rFonts w:ascii="Arial" w:eastAsia="Times New Roman" w:hAnsi="Arial" w:cs="Times New Roman"/>
      <w:sz w:val="20"/>
      <w:szCs w:val="20"/>
    </w:rPr>
  </w:style>
  <w:style w:type="character" w:customStyle="1" w:styleId="AsuntodelcomentarioCar">
    <w:name w:val="Asunto del comentario Car"/>
    <w:link w:val="Asuntodelcomentario"/>
    <w:uiPriority w:val="99"/>
    <w:semiHidden/>
    <w:rsid w:val="006C0067"/>
    <w:rPr>
      <w:rFonts w:ascii="Arial" w:eastAsia="Times New Roman" w:hAnsi="Arial"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6C0067"/>
    <w:rPr>
      <w:b/>
      <w:bCs/>
    </w:rPr>
  </w:style>
  <w:style w:type="paragraph" w:customStyle="1" w:styleId="CM29">
    <w:name w:val="CM29"/>
    <w:basedOn w:val="Default"/>
    <w:next w:val="Default"/>
    <w:rsid w:val="006C0067"/>
    <w:pPr>
      <w:spacing w:after="118"/>
    </w:pPr>
    <w:rPr>
      <w:rFonts w:cs="Times New Roman"/>
      <w:color w:val="auto"/>
    </w:rPr>
  </w:style>
  <w:style w:type="paragraph" w:styleId="Sangradetextonormal">
    <w:name w:val="Body Text Indent"/>
    <w:basedOn w:val="Normal"/>
    <w:link w:val="SangradetextonormalCar"/>
    <w:rsid w:val="00D57AB1"/>
    <w:pPr>
      <w:widowControl/>
      <w:autoSpaceDE/>
      <w:autoSpaceDN/>
      <w:adjustRightInd/>
      <w:ind w:firstLine="708"/>
      <w:jc w:val="both"/>
    </w:pPr>
    <w:rPr>
      <w:rFonts w:ascii="Times New Roman" w:hAnsi="Times New Roman" w:cs="Times New Roman"/>
      <w:sz w:val="24"/>
      <w:szCs w:val="24"/>
    </w:rPr>
  </w:style>
  <w:style w:type="character" w:customStyle="1" w:styleId="SangradetextonormalCar">
    <w:name w:val="Sangría de texto normal Car"/>
    <w:link w:val="Sangradetextonormal"/>
    <w:rsid w:val="00D57AB1"/>
    <w:rPr>
      <w:rFonts w:ascii="Times New Roman" w:eastAsia="Times New Roman" w:hAnsi="Times New Roman"/>
      <w:sz w:val="24"/>
      <w:szCs w:val="24"/>
    </w:rPr>
  </w:style>
  <w:style w:type="paragraph" w:styleId="Sinespaciado">
    <w:name w:val="No Spacing"/>
    <w:uiPriority w:val="1"/>
    <w:qFormat/>
    <w:rsid w:val="00336355"/>
    <w:pPr>
      <w:widowControl w:val="0"/>
      <w:autoSpaceDE w:val="0"/>
      <w:autoSpaceDN w:val="0"/>
      <w:adjustRightInd w:val="0"/>
    </w:pPr>
    <w:rPr>
      <w:rFonts w:ascii="Arial" w:eastAsia="Times New Roman" w:hAnsi="Arial" w:cs="Arial"/>
    </w:rPr>
  </w:style>
  <w:style w:type="paragraph" w:styleId="Textoindependiente">
    <w:name w:val="Body Text"/>
    <w:basedOn w:val="Normal"/>
    <w:link w:val="TextoindependienteCar"/>
    <w:uiPriority w:val="99"/>
    <w:semiHidden/>
    <w:unhideWhenUsed/>
    <w:rsid w:val="00F8206D"/>
    <w:pPr>
      <w:spacing w:after="120"/>
    </w:pPr>
    <w:rPr>
      <w:rFonts w:cs="Times New Roman"/>
    </w:rPr>
  </w:style>
  <w:style w:type="character" w:customStyle="1" w:styleId="TextoindependienteCar">
    <w:name w:val="Texto independiente Car"/>
    <w:link w:val="Textoindependiente"/>
    <w:uiPriority w:val="99"/>
    <w:semiHidden/>
    <w:rsid w:val="00F8206D"/>
    <w:rPr>
      <w:rFonts w:ascii="Arial" w:eastAsia="Times New Roman" w:hAnsi="Arial" w:cs="Arial"/>
    </w:rPr>
  </w:style>
  <w:style w:type="table" w:styleId="Tablaconcuadrcula">
    <w:name w:val="Table Grid"/>
    <w:basedOn w:val="Tablanormal"/>
    <w:uiPriority w:val="59"/>
    <w:rsid w:val="0011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Default"/>
    <w:next w:val="Default"/>
    <w:rsid w:val="00B7600E"/>
    <w:pPr>
      <w:spacing w:line="231" w:lineRule="atLeast"/>
    </w:pPr>
    <w:rPr>
      <w:rFonts w:cs="Times New Roman"/>
      <w:color w:val="auto"/>
    </w:rPr>
  </w:style>
  <w:style w:type="character" w:customStyle="1" w:styleId="Ttulo2Car">
    <w:name w:val="Título 2 Car"/>
    <w:basedOn w:val="Fuentedeprrafopredeter"/>
    <w:link w:val="Ttulo2"/>
    <w:rsid w:val="00F07068"/>
    <w:rPr>
      <w:rFonts w:ascii="Arial" w:eastAsia="Times New Roman" w:hAnsi="Arial" w:cs="Arial"/>
      <w:bCs/>
      <w:i/>
      <w:color w:val="000000"/>
      <w:sz w:val="24"/>
      <w:szCs w:val="24"/>
    </w:rPr>
  </w:style>
  <w:style w:type="paragraph" w:styleId="Prrafodelista">
    <w:name w:val="List Paragraph"/>
    <w:basedOn w:val="Normal"/>
    <w:uiPriority w:val="34"/>
    <w:qFormat/>
    <w:rsid w:val="009344BE"/>
    <w:pPr>
      <w:ind w:left="720"/>
      <w:contextualSpacing/>
    </w:pPr>
  </w:style>
  <w:style w:type="paragraph" w:styleId="Listaconnmeros">
    <w:name w:val="List Number"/>
    <w:basedOn w:val="Normal"/>
    <w:semiHidden/>
    <w:rsid w:val="00D1236B"/>
    <w:pPr>
      <w:widowControl/>
      <w:autoSpaceDE/>
      <w:autoSpaceDN/>
      <w:adjustRightInd/>
      <w:spacing w:after="240"/>
      <w:ind w:left="284" w:hanging="284"/>
      <w:jc w:val="both"/>
    </w:pPr>
    <w:rPr>
      <w:rFonts w:cs="Times New Roman"/>
      <w:sz w:val="18"/>
      <w:lang w:eastAsia="en-US"/>
    </w:rPr>
  </w:style>
  <w:style w:type="character" w:customStyle="1" w:styleId="Ttulo1Car">
    <w:name w:val="Título 1 Car"/>
    <w:basedOn w:val="Fuentedeprrafopredeter"/>
    <w:link w:val="Ttulo1"/>
    <w:uiPriority w:val="9"/>
    <w:rsid w:val="001A218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948">
      <w:bodyDiv w:val="1"/>
      <w:marLeft w:val="0"/>
      <w:marRight w:val="0"/>
      <w:marTop w:val="0"/>
      <w:marBottom w:val="0"/>
      <w:divBdr>
        <w:top w:val="none" w:sz="0" w:space="0" w:color="auto"/>
        <w:left w:val="none" w:sz="0" w:space="0" w:color="auto"/>
        <w:bottom w:val="none" w:sz="0" w:space="0" w:color="auto"/>
        <w:right w:val="none" w:sz="0" w:space="0" w:color="auto"/>
      </w:divBdr>
    </w:div>
    <w:div w:id="55320073">
      <w:bodyDiv w:val="1"/>
      <w:marLeft w:val="0"/>
      <w:marRight w:val="0"/>
      <w:marTop w:val="0"/>
      <w:marBottom w:val="0"/>
      <w:divBdr>
        <w:top w:val="none" w:sz="0" w:space="0" w:color="auto"/>
        <w:left w:val="none" w:sz="0" w:space="0" w:color="auto"/>
        <w:bottom w:val="none" w:sz="0" w:space="0" w:color="auto"/>
        <w:right w:val="none" w:sz="0" w:space="0" w:color="auto"/>
      </w:divBdr>
    </w:div>
    <w:div w:id="73363697">
      <w:bodyDiv w:val="1"/>
      <w:marLeft w:val="0"/>
      <w:marRight w:val="0"/>
      <w:marTop w:val="0"/>
      <w:marBottom w:val="0"/>
      <w:divBdr>
        <w:top w:val="none" w:sz="0" w:space="0" w:color="auto"/>
        <w:left w:val="none" w:sz="0" w:space="0" w:color="auto"/>
        <w:bottom w:val="none" w:sz="0" w:space="0" w:color="auto"/>
        <w:right w:val="none" w:sz="0" w:space="0" w:color="auto"/>
      </w:divBdr>
    </w:div>
    <w:div w:id="84572311">
      <w:bodyDiv w:val="1"/>
      <w:marLeft w:val="0"/>
      <w:marRight w:val="0"/>
      <w:marTop w:val="0"/>
      <w:marBottom w:val="0"/>
      <w:divBdr>
        <w:top w:val="none" w:sz="0" w:space="0" w:color="auto"/>
        <w:left w:val="none" w:sz="0" w:space="0" w:color="auto"/>
        <w:bottom w:val="none" w:sz="0" w:space="0" w:color="auto"/>
        <w:right w:val="none" w:sz="0" w:space="0" w:color="auto"/>
      </w:divBdr>
    </w:div>
    <w:div w:id="113528911">
      <w:bodyDiv w:val="1"/>
      <w:marLeft w:val="0"/>
      <w:marRight w:val="0"/>
      <w:marTop w:val="0"/>
      <w:marBottom w:val="0"/>
      <w:divBdr>
        <w:top w:val="none" w:sz="0" w:space="0" w:color="auto"/>
        <w:left w:val="none" w:sz="0" w:space="0" w:color="auto"/>
        <w:bottom w:val="none" w:sz="0" w:space="0" w:color="auto"/>
        <w:right w:val="none" w:sz="0" w:space="0" w:color="auto"/>
      </w:divBdr>
    </w:div>
    <w:div w:id="122961625">
      <w:bodyDiv w:val="1"/>
      <w:marLeft w:val="0"/>
      <w:marRight w:val="0"/>
      <w:marTop w:val="0"/>
      <w:marBottom w:val="0"/>
      <w:divBdr>
        <w:top w:val="none" w:sz="0" w:space="0" w:color="auto"/>
        <w:left w:val="none" w:sz="0" w:space="0" w:color="auto"/>
        <w:bottom w:val="none" w:sz="0" w:space="0" w:color="auto"/>
        <w:right w:val="none" w:sz="0" w:space="0" w:color="auto"/>
      </w:divBdr>
    </w:div>
    <w:div w:id="182011479">
      <w:bodyDiv w:val="1"/>
      <w:marLeft w:val="0"/>
      <w:marRight w:val="0"/>
      <w:marTop w:val="0"/>
      <w:marBottom w:val="0"/>
      <w:divBdr>
        <w:top w:val="none" w:sz="0" w:space="0" w:color="auto"/>
        <w:left w:val="none" w:sz="0" w:space="0" w:color="auto"/>
        <w:bottom w:val="none" w:sz="0" w:space="0" w:color="auto"/>
        <w:right w:val="none" w:sz="0" w:space="0" w:color="auto"/>
      </w:divBdr>
    </w:div>
    <w:div w:id="221840103">
      <w:bodyDiv w:val="1"/>
      <w:marLeft w:val="0"/>
      <w:marRight w:val="0"/>
      <w:marTop w:val="0"/>
      <w:marBottom w:val="0"/>
      <w:divBdr>
        <w:top w:val="none" w:sz="0" w:space="0" w:color="auto"/>
        <w:left w:val="none" w:sz="0" w:space="0" w:color="auto"/>
        <w:bottom w:val="none" w:sz="0" w:space="0" w:color="auto"/>
        <w:right w:val="none" w:sz="0" w:space="0" w:color="auto"/>
      </w:divBdr>
    </w:div>
    <w:div w:id="247274621">
      <w:bodyDiv w:val="1"/>
      <w:marLeft w:val="0"/>
      <w:marRight w:val="0"/>
      <w:marTop w:val="0"/>
      <w:marBottom w:val="0"/>
      <w:divBdr>
        <w:top w:val="none" w:sz="0" w:space="0" w:color="auto"/>
        <w:left w:val="none" w:sz="0" w:space="0" w:color="auto"/>
        <w:bottom w:val="none" w:sz="0" w:space="0" w:color="auto"/>
        <w:right w:val="none" w:sz="0" w:space="0" w:color="auto"/>
      </w:divBdr>
    </w:div>
    <w:div w:id="293144399">
      <w:bodyDiv w:val="1"/>
      <w:marLeft w:val="0"/>
      <w:marRight w:val="0"/>
      <w:marTop w:val="0"/>
      <w:marBottom w:val="0"/>
      <w:divBdr>
        <w:top w:val="none" w:sz="0" w:space="0" w:color="auto"/>
        <w:left w:val="none" w:sz="0" w:space="0" w:color="auto"/>
        <w:bottom w:val="none" w:sz="0" w:space="0" w:color="auto"/>
        <w:right w:val="none" w:sz="0" w:space="0" w:color="auto"/>
      </w:divBdr>
    </w:div>
    <w:div w:id="349915243">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360472913">
      <w:bodyDiv w:val="1"/>
      <w:marLeft w:val="0"/>
      <w:marRight w:val="0"/>
      <w:marTop w:val="0"/>
      <w:marBottom w:val="0"/>
      <w:divBdr>
        <w:top w:val="none" w:sz="0" w:space="0" w:color="auto"/>
        <w:left w:val="none" w:sz="0" w:space="0" w:color="auto"/>
        <w:bottom w:val="none" w:sz="0" w:space="0" w:color="auto"/>
        <w:right w:val="none" w:sz="0" w:space="0" w:color="auto"/>
      </w:divBdr>
    </w:div>
    <w:div w:id="372923765">
      <w:bodyDiv w:val="1"/>
      <w:marLeft w:val="0"/>
      <w:marRight w:val="0"/>
      <w:marTop w:val="0"/>
      <w:marBottom w:val="0"/>
      <w:divBdr>
        <w:top w:val="none" w:sz="0" w:space="0" w:color="auto"/>
        <w:left w:val="none" w:sz="0" w:space="0" w:color="auto"/>
        <w:bottom w:val="none" w:sz="0" w:space="0" w:color="auto"/>
        <w:right w:val="none" w:sz="0" w:space="0" w:color="auto"/>
      </w:divBdr>
    </w:div>
    <w:div w:id="378404908">
      <w:bodyDiv w:val="1"/>
      <w:marLeft w:val="0"/>
      <w:marRight w:val="0"/>
      <w:marTop w:val="0"/>
      <w:marBottom w:val="0"/>
      <w:divBdr>
        <w:top w:val="none" w:sz="0" w:space="0" w:color="auto"/>
        <w:left w:val="none" w:sz="0" w:space="0" w:color="auto"/>
        <w:bottom w:val="none" w:sz="0" w:space="0" w:color="auto"/>
        <w:right w:val="none" w:sz="0" w:space="0" w:color="auto"/>
      </w:divBdr>
    </w:div>
    <w:div w:id="389378797">
      <w:bodyDiv w:val="1"/>
      <w:marLeft w:val="0"/>
      <w:marRight w:val="0"/>
      <w:marTop w:val="0"/>
      <w:marBottom w:val="0"/>
      <w:divBdr>
        <w:top w:val="none" w:sz="0" w:space="0" w:color="auto"/>
        <w:left w:val="none" w:sz="0" w:space="0" w:color="auto"/>
        <w:bottom w:val="none" w:sz="0" w:space="0" w:color="auto"/>
        <w:right w:val="none" w:sz="0" w:space="0" w:color="auto"/>
      </w:divBdr>
    </w:div>
    <w:div w:id="389773728">
      <w:bodyDiv w:val="1"/>
      <w:marLeft w:val="0"/>
      <w:marRight w:val="0"/>
      <w:marTop w:val="0"/>
      <w:marBottom w:val="0"/>
      <w:divBdr>
        <w:top w:val="none" w:sz="0" w:space="0" w:color="auto"/>
        <w:left w:val="none" w:sz="0" w:space="0" w:color="auto"/>
        <w:bottom w:val="none" w:sz="0" w:space="0" w:color="auto"/>
        <w:right w:val="none" w:sz="0" w:space="0" w:color="auto"/>
      </w:divBdr>
    </w:div>
    <w:div w:id="406537505">
      <w:bodyDiv w:val="1"/>
      <w:marLeft w:val="0"/>
      <w:marRight w:val="0"/>
      <w:marTop w:val="0"/>
      <w:marBottom w:val="0"/>
      <w:divBdr>
        <w:top w:val="none" w:sz="0" w:space="0" w:color="auto"/>
        <w:left w:val="none" w:sz="0" w:space="0" w:color="auto"/>
        <w:bottom w:val="none" w:sz="0" w:space="0" w:color="auto"/>
        <w:right w:val="none" w:sz="0" w:space="0" w:color="auto"/>
      </w:divBdr>
    </w:div>
    <w:div w:id="419180816">
      <w:bodyDiv w:val="1"/>
      <w:marLeft w:val="0"/>
      <w:marRight w:val="0"/>
      <w:marTop w:val="0"/>
      <w:marBottom w:val="0"/>
      <w:divBdr>
        <w:top w:val="none" w:sz="0" w:space="0" w:color="auto"/>
        <w:left w:val="none" w:sz="0" w:space="0" w:color="auto"/>
        <w:bottom w:val="none" w:sz="0" w:space="0" w:color="auto"/>
        <w:right w:val="none" w:sz="0" w:space="0" w:color="auto"/>
      </w:divBdr>
    </w:div>
    <w:div w:id="435714468">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488985061">
      <w:bodyDiv w:val="1"/>
      <w:marLeft w:val="0"/>
      <w:marRight w:val="0"/>
      <w:marTop w:val="0"/>
      <w:marBottom w:val="0"/>
      <w:divBdr>
        <w:top w:val="none" w:sz="0" w:space="0" w:color="auto"/>
        <w:left w:val="none" w:sz="0" w:space="0" w:color="auto"/>
        <w:bottom w:val="none" w:sz="0" w:space="0" w:color="auto"/>
        <w:right w:val="none" w:sz="0" w:space="0" w:color="auto"/>
      </w:divBdr>
    </w:div>
    <w:div w:id="510218462">
      <w:bodyDiv w:val="1"/>
      <w:marLeft w:val="0"/>
      <w:marRight w:val="0"/>
      <w:marTop w:val="0"/>
      <w:marBottom w:val="0"/>
      <w:divBdr>
        <w:top w:val="none" w:sz="0" w:space="0" w:color="auto"/>
        <w:left w:val="none" w:sz="0" w:space="0" w:color="auto"/>
        <w:bottom w:val="none" w:sz="0" w:space="0" w:color="auto"/>
        <w:right w:val="none" w:sz="0" w:space="0" w:color="auto"/>
      </w:divBdr>
    </w:div>
    <w:div w:id="513766384">
      <w:bodyDiv w:val="1"/>
      <w:marLeft w:val="0"/>
      <w:marRight w:val="0"/>
      <w:marTop w:val="0"/>
      <w:marBottom w:val="0"/>
      <w:divBdr>
        <w:top w:val="none" w:sz="0" w:space="0" w:color="auto"/>
        <w:left w:val="none" w:sz="0" w:space="0" w:color="auto"/>
        <w:bottom w:val="none" w:sz="0" w:space="0" w:color="auto"/>
        <w:right w:val="none" w:sz="0" w:space="0" w:color="auto"/>
      </w:divBdr>
    </w:div>
    <w:div w:id="559248001">
      <w:bodyDiv w:val="1"/>
      <w:marLeft w:val="0"/>
      <w:marRight w:val="0"/>
      <w:marTop w:val="0"/>
      <w:marBottom w:val="0"/>
      <w:divBdr>
        <w:top w:val="none" w:sz="0" w:space="0" w:color="auto"/>
        <w:left w:val="none" w:sz="0" w:space="0" w:color="auto"/>
        <w:bottom w:val="none" w:sz="0" w:space="0" w:color="auto"/>
        <w:right w:val="none" w:sz="0" w:space="0" w:color="auto"/>
      </w:divBdr>
    </w:div>
    <w:div w:id="563294703">
      <w:bodyDiv w:val="1"/>
      <w:marLeft w:val="0"/>
      <w:marRight w:val="0"/>
      <w:marTop w:val="0"/>
      <w:marBottom w:val="0"/>
      <w:divBdr>
        <w:top w:val="none" w:sz="0" w:space="0" w:color="auto"/>
        <w:left w:val="none" w:sz="0" w:space="0" w:color="auto"/>
        <w:bottom w:val="none" w:sz="0" w:space="0" w:color="auto"/>
        <w:right w:val="none" w:sz="0" w:space="0" w:color="auto"/>
      </w:divBdr>
    </w:div>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596449634">
      <w:bodyDiv w:val="1"/>
      <w:marLeft w:val="0"/>
      <w:marRight w:val="0"/>
      <w:marTop w:val="0"/>
      <w:marBottom w:val="0"/>
      <w:divBdr>
        <w:top w:val="none" w:sz="0" w:space="0" w:color="auto"/>
        <w:left w:val="none" w:sz="0" w:space="0" w:color="auto"/>
        <w:bottom w:val="none" w:sz="0" w:space="0" w:color="auto"/>
        <w:right w:val="none" w:sz="0" w:space="0" w:color="auto"/>
      </w:divBdr>
    </w:div>
    <w:div w:id="599340814">
      <w:bodyDiv w:val="1"/>
      <w:marLeft w:val="0"/>
      <w:marRight w:val="0"/>
      <w:marTop w:val="0"/>
      <w:marBottom w:val="0"/>
      <w:divBdr>
        <w:top w:val="none" w:sz="0" w:space="0" w:color="auto"/>
        <w:left w:val="none" w:sz="0" w:space="0" w:color="auto"/>
        <w:bottom w:val="none" w:sz="0" w:space="0" w:color="auto"/>
        <w:right w:val="none" w:sz="0" w:space="0" w:color="auto"/>
      </w:divBdr>
    </w:div>
    <w:div w:id="615527081">
      <w:bodyDiv w:val="1"/>
      <w:marLeft w:val="0"/>
      <w:marRight w:val="0"/>
      <w:marTop w:val="0"/>
      <w:marBottom w:val="0"/>
      <w:divBdr>
        <w:top w:val="none" w:sz="0" w:space="0" w:color="auto"/>
        <w:left w:val="none" w:sz="0" w:space="0" w:color="auto"/>
        <w:bottom w:val="none" w:sz="0" w:space="0" w:color="auto"/>
        <w:right w:val="none" w:sz="0" w:space="0" w:color="auto"/>
      </w:divBdr>
    </w:div>
    <w:div w:id="630673663">
      <w:bodyDiv w:val="1"/>
      <w:marLeft w:val="0"/>
      <w:marRight w:val="0"/>
      <w:marTop w:val="0"/>
      <w:marBottom w:val="0"/>
      <w:divBdr>
        <w:top w:val="none" w:sz="0" w:space="0" w:color="auto"/>
        <w:left w:val="none" w:sz="0" w:space="0" w:color="auto"/>
        <w:bottom w:val="none" w:sz="0" w:space="0" w:color="auto"/>
        <w:right w:val="none" w:sz="0" w:space="0" w:color="auto"/>
      </w:divBdr>
    </w:div>
    <w:div w:id="635843527">
      <w:bodyDiv w:val="1"/>
      <w:marLeft w:val="0"/>
      <w:marRight w:val="0"/>
      <w:marTop w:val="0"/>
      <w:marBottom w:val="0"/>
      <w:divBdr>
        <w:top w:val="none" w:sz="0" w:space="0" w:color="auto"/>
        <w:left w:val="none" w:sz="0" w:space="0" w:color="auto"/>
        <w:bottom w:val="none" w:sz="0" w:space="0" w:color="auto"/>
        <w:right w:val="none" w:sz="0" w:space="0" w:color="auto"/>
      </w:divBdr>
    </w:div>
    <w:div w:id="637153377">
      <w:bodyDiv w:val="1"/>
      <w:marLeft w:val="0"/>
      <w:marRight w:val="0"/>
      <w:marTop w:val="0"/>
      <w:marBottom w:val="0"/>
      <w:divBdr>
        <w:top w:val="none" w:sz="0" w:space="0" w:color="auto"/>
        <w:left w:val="none" w:sz="0" w:space="0" w:color="auto"/>
        <w:bottom w:val="none" w:sz="0" w:space="0" w:color="auto"/>
        <w:right w:val="none" w:sz="0" w:space="0" w:color="auto"/>
      </w:divBdr>
    </w:div>
    <w:div w:id="638649517">
      <w:bodyDiv w:val="1"/>
      <w:marLeft w:val="0"/>
      <w:marRight w:val="0"/>
      <w:marTop w:val="0"/>
      <w:marBottom w:val="0"/>
      <w:divBdr>
        <w:top w:val="none" w:sz="0" w:space="0" w:color="auto"/>
        <w:left w:val="none" w:sz="0" w:space="0" w:color="auto"/>
        <w:bottom w:val="none" w:sz="0" w:space="0" w:color="auto"/>
        <w:right w:val="none" w:sz="0" w:space="0" w:color="auto"/>
      </w:divBdr>
    </w:div>
    <w:div w:id="682391020">
      <w:bodyDiv w:val="1"/>
      <w:marLeft w:val="0"/>
      <w:marRight w:val="0"/>
      <w:marTop w:val="0"/>
      <w:marBottom w:val="0"/>
      <w:divBdr>
        <w:top w:val="none" w:sz="0" w:space="0" w:color="auto"/>
        <w:left w:val="none" w:sz="0" w:space="0" w:color="auto"/>
        <w:bottom w:val="none" w:sz="0" w:space="0" w:color="auto"/>
        <w:right w:val="none" w:sz="0" w:space="0" w:color="auto"/>
      </w:divBdr>
    </w:div>
    <w:div w:id="695274946">
      <w:bodyDiv w:val="1"/>
      <w:marLeft w:val="0"/>
      <w:marRight w:val="0"/>
      <w:marTop w:val="0"/>
      <w:marBottom w:val="0"/>
      <w:divBdr>
        <w:top w:val="none" w:sz="0" w:space="0" w:color="auto"/>
        <w:left w:val="none" w:sz="0" w:space="0" w:color="auto"/>
        <w:bottom w:val="none" w:sz="0" w:space="0" w:color="auto"/>
        <w:right w:val="none" w:sz="0" w:space="0" w:color="auto"/>
      </w:divBdr>
    </w:div>
    <w:div w:id="725832764">
      <w:bodyDiv w:val="1"/>
      <w:marLeft w:val="0"/>
      <w:marRight w:val="0"/>
      <w:marTop w:val="0"/>
      <w:marBottom w:val="0"/>
      <w:divBdr>
        <w:top w:val="none" w:sz="0" w:space="0" w:color="auto"/>
        <w:left w:val="none" w:sz="0" w:space="0" w:color="auto"/>
        <w:bottom w:val="none" w:sz="0" w:space="0" w:color="auto"/>
        <w:right w:val="none" w:sz="0" w:space="0" w:color="auto"/>
      </w:divBdr>
    </w:div>
    <w:div w:id="735128096">
      <w:bodyDiv w:val="1"/>
      <w:marLeft w:val="0"/>
      <w:marRight w:val="0"/>
      <w:marTop w:val="0"/>
      <w:marBottom w:val="0"/>
      <w:divBdr>
        <w:top w:val="none" w:sz="0" w:space="0" w:color="auto"/>
        <w:left w:val="none" w:sz="0" w:space="0" w:color="auto"/>
        <w:bottom w:val="none" w:sz="0" w:space="0" w:color="auto"/>
        <w:right w:val="none" w:sz="0" w:space="0" w:color="auto"/>
      </w:divBdr>
    </w:div>
    <w:div w:id="756555820">
      <w:bodyDiv w:val="1"/>
      <w:marLeft w:val="0"/>
      <w:marRight w:val="0"/>
      <w:marTop w:val="0"/>
      <w:marBottom w:val="0"/>
      <w:divBdr>
        <w:top w:val="none" w:sz="0" w:space="0" w:color="auto"/>
        <w:left w:val="none" w:sz="0" w:space="0" w:color="auto"/>
        <w:bottom w:val="none" w:sz="0" w:space="0" w:color="auto"/>
        <w:right w:val="none" w:sz="0" w:space="0" w:color="auto"/>
      </w:divBdr>
    </w:div>
    <w:div w:id="762530942">
      <w:bodyDiv w:val="1"/>
      <w:marLeft w:val="0"/>
      <w:marRight w:val="0"/>
      <w:marTop w:val="0"/>
      <w:marBottom w:val="0"/>
      <w:divBdr>
        <w:top w:val="none" w:sz="0" w:space="0" w:color="auto"/>
        <w:left w:val="none" w:sz="0" w:space="0" w:color="auto"/>
        <w:bottom w:val="none" w:sz="0" w:space="0" w:color="auto"/>
        <w:right w:val="none" w:sz="0" w:space="0" w:color="auto"/>
      </w:divBdr>
    </w:div>
    <w:div w:id="763112639">
      <w:bodyDiv w:val="1"/>
      <w:marLeft w:val="0"/>
      <w:marRight w:val="0"/>
      <w:marTop w:val="0"/>
      <w:marBottom w:val="0"/>
      <w:divBdr>
        <w:top w:val="none" w:sz="0" w:space="0" w:color="auto"/>
        <w:left w:val="none" w:sz="0" w:space="0" w:color="auto"/>
        <w:bottom w:val="none" w:sz="0" w:space="0" w:color="auto"/>
        <w:right w:val="none" w:sz="0" w:space="0" w:color="auto"/>
      </w:divBdr>
    </w:div>
    <w:div w:id="799571061">
      <w:bodyDiv w:val="1"/>
      <w:marLeft w:val="0"/>
      <w:marRight w:val="0"/>
      <w:marTop w:val="0"/>
      <w:marBottom w:val="0"/>
      <w:divBdr>
        <w:top w:val="none" w:sz="0" w:space="0" w:color="auto"/>
        <w:left w:val="none" w:sz="0" w:space="0" w:color="auto"/>
        <w:bottom w:val="none" w:sz="0" w:space="0" w:color="auto"/>
        <w:right w:val="none" w:sz="0" w:space="0" w:color="auto"/>
      </w:divBdr>
    </w:div>
    <w:div w:id="817381694">
      <w:bodyDiv w:val="1"/>
      <w:marLeft w:val="0"/>
      <w:marRight w:val="0"/>
      <w:marTop w:val="0"/>
      <w:marBottom w:val="0"/>
      <w:divBdr>
        <w:top w:val="none" w:sz="0" w:space="0" w:color="auto"/>
        <w:left w:val="none" w:sz="0" w:space="0" w:color="auto"/>
        <w:bottom w:val="none" w:sz="0" w:space="0" w:color="auto"/>
        <w:right w:val="none" w:sz="0" w:space="0" w:color="auto"/>
      </w:divBdr>
    </w:div>
    <w:div w:id="855268628">
      <w:bodyDiv w:val="1"/>
      <w:marLeft w:val="0"/>
      <w:marRight w:val="0"/>
      <w:marTop w:val="0"/>
      <w:marBottom w:val="0"/>
      <w:divBdr>
        <w:top w:val="none" w:sz="0" w:space="0" w:color="auto"/>
        <w:left w:val="none" w:sz="0" w:space="0" w:color="auto"/>
        <w:bottom w:val="none" w:sz="0" w:space="0" w:color="auto"/>
        <w:right w:val="none" w:sz="0" w:space="0" w:color="auto"/>
      </w:divBdr>
    </w:div>
    <w:div w:id="860824743">
      <w:bodyDiv w:val="1"/>
      <w:marLeft w:val="0"/>
      <w:marRight w:val="0"/>
      <w:marTop w:val="0"/>
      <w:marBottom w:val="0"/>
      <w:divBdr>
        <w:top w:val="none" w:sz="0" w:space="0" w:color="auto"/>
        <w:left w:val="none" w:sz="0" w:space="0" w:color="auto"/>
        <w:bottom w:val="none" w:sz="0" w:space="0" w:color="auto"/>
        <w:right w:val="none" w:sz="0" w:space="0" w:color="auto"/>
      </w:divBdr>
    </w:div>
    <w:div w:id="862129701">
      <w:bodyDiv w:val="1"/>
      <w:marLeft w:val="0"/>
      <w:marRight w:val="0"/>
      <w:marTop w:val="0"/>
      <w:marBottom w:val="0"/>
      <w:divBdr>
        <w:top w:val="none" w:sz="0" w:space="0" w:color="auto"/>
        <w:left w:val="none" w:sz="0" w:space="0" w:color="auto"/>
        <w:bottom w:val="none" w:sz="0" w:space="0" w:color="auto"/>
        <w:right w:val="none" w:sz="0" w:space="0" w:color="auto"/>
      </w:divBdr>
    </w:div>
    <w:div w:id="906037905">
      <w:bodyDiv w:val="1"/>
      <w:marLeft w:val="0"/>
      <w:marRight w:val="0"/>
      <w:marTop w:val="0"/>
      <w:marBottom w:val="0"/>
      <w:divBdr>
        <w:top w:val="none" w:sz="0" w:space="0" w:color="auto"/>
        <w:left w:val="none" w:sz="0" w:space="0" w:color="auto"/>
        <w:bottom w:val="none" w:sz="0" w:space="0" w:color="auto"/>
        <w:right w:val="none" w:sz="0" w:space="0" w:color="auto"/>
      </w:divBdr>
    </w:div>
    <w:div w:id="908229405">
      <w:bodyDiv w:val="1"/>
      <w:marLeft w:val="0"/>
      <w:marRight w:val="0"/>
      <w:marTop w:val="0"/>
      <w:marBottom w:val="0"/>
      <w:divBdr>
        <w:top w:val="none" w:sz="0" w:space="0" w:color="auto"/>
        <w:left w:val="none" w:sz="0" w:space="0" w:color="auto"/>
        <w:bottom w:val="none" w:sz="0" w:space="0" w:color="auto"/>
        <w:right w:val="none" w:sz="0" w:space="0" w:color="auto"/>
      </w:divBdr>
    </w:div>
    <w:div w:id="912355561">
      <w:bodyDiv w:val="1"/>
      <w:marLeft w:val="0"/>
      <w:marRight w:val="0"/>
      <w:marTop w:val="0"/>
      <w:marBottom w:val="0"/>
      <w:divBdr>
        <w:top w:val="none" w:sz="0" w:space="0" w:color="auto"/>
        <w:left w:val="none" w:sz="0" w:space="0" w:color="auto"/>
        <w:bottom w:val="none" w:sz="0" w:space="0" w:color="auto"/>
        <w:right w:val="none" w:sz="0" w:space="0" w:color="auto"/>
      </w:divBdr>
    </w:div>
    <w:div w:id="942885181">
      <w:bodyDiv w:val="1"/>
      <w:marLeft w:val="0"/>
      <w:marRight w:val="0"/>
      <w:marTop w:val="0"/>
      <w:marBottom w:val="0"/>
      <w:divBdr>
        <w:top w:val="none" w:sz="0" w:space="0" w:color="auto"/>
        <w:left w:val="none" w:sz="0" w:space="0" w:color="auto"/>
        <w:bottom w:val="none" w:sz="0" w:space="0" w:color="auto"/>
        <w:right w:val="none" w:sz="0" w:space="0" w:color="auto"/>
      </w:divBdr>
    </w:div>
    <w:div w:id="967510105">
      <w:bodyDiv w:val="1"/>
      <w:marLeft w:val="0"/>
      <w:marRight w:val="0"/>
      <w:marTop w:val="0"/>
      <w:marBottom w:val="0"/>
      <w:divBdr>
        <w:top w:val="none" w:sz="0" w:space="0" w:color="auto"/>
        <w:left w:val="none" w:sz="0" w:space="0" w:color="auto"/>
        <w:bottom w:val="none" w:sz="0" w:space="0" w:color="auto"/>
        <w:right w:val="none" w:sz="0" w:space="0" w:color="auto"/>
      </w:divBdr>
    </w:div>
    <w:div w:id="975257098">
      <w:bodyDiv w:val="1"/>
      <w:marLeft w:val="0"/>
      <w:marRight w:val="0"/>
      <w:marTop w:val="0"/>
      <w:marBottom w:val="0"/>
      <w:divBdr>
        <w:top w:val="none" w:sz="0" w:space="0" w:color="auto"/>
        <w:left w:val="none" w:sz="0" w:space="0" w:color="auto"/>
        <w:bottom w:val="none" w:sz="0" w:space="0" w:color="auto"/>
        <w:right w:val="none" w:sz="0" w:space="0" w:color="auto"/>
      </w:divBdr>
    </w:div>
    <w:div w:id="983045288">
      <w:bodyDiv w:val="1"/>
      <w:marLeft w:val="0"/>
      <w:marRight w:val="0"/>
      <w:marTop w:val="0"/>
      <w:marBottom w:val="0"/>
      <w:divBdr>
        <w:top w:val="none" w:sz="0" w:space="0" w:color="auto"/>
        <w:left w:val="none" w:sz="0" w:space="0" w:color="auto"/>
        <w:bottom w:val="none" w:sz="0" w:space="0" w:color="auto"/>
        <w:right w:val="none" w:sz="0" w:space="0" w:color="auto"/>
      </w:divBdr>
    </w:div>
    <w:div w:id="996105310">
      <w:bodyDiv w:val="1"/>
      <w:marLeft w:val="0"/>
      <w:marRight w:val="0"/>
      <w:marTop w:val="0"/>
      <w:marBottom w:val="0"/>
      <w:divBdr>
        <w:top w:val="none" w:sz="0" w:space="0" w:color="auto"/>
        <w:left w:val="none" w:sz="0" w:space="0" w:color="auto"/>
        <w:bottom w:val="none" w:sz="0" w:space="0" w:color="auto"/>
        <w:right w:val="none" w:sz="0" w:space="0" w:color="auto"/>
      </w:divBdr>
    </w:div>
    <w:div w:id="1026490948">
      <w:bodyDiv w:val="1"/>
      <w:marLeft w:val="0"/>
      <w:marRight w:val="0"/>
      <w:marTop w:val="0"/>
      <w:marBottom w:val="0"/>
      <w:divBdr>
        <w:top w:val="none" w:sz="0" w:space="0" w:color="auto"/>
        <w:left w:val="none" w:sz="0" w:space="0" w:color="auto"/>
        <w:bottom w:val="none" w:sz="0" w:space="0" w:color="auto"/>
        <w:right w:val="none" w:sz="0" w:space="0" w:color="auto"/>
      </w:divBdr>
    </w:div>
    <w:div w:id="1040278972">
      <w:bodyDiv w:val="1"/>
      <w:marLeft w:val="0"/>
      <w:marRight w:val="0"/>
      <w:marTop w:val="0"/>
      <w:marBottom w:val="0"/>
      <w:divBdr>
        <w:top w:val="none" w:sz="0" w:space="0" w:color="auto"/>
        <w:left w:val="none" w:sz="0" w:space="0" w:color="auto"/>
        <w:bottom w:val="none" w:sz="0" w:space="0" w:color="auto"/>
        <w:right w:val="none" w:sz="0" w:space="0" w:color="auto"/>
      </w:divBdr>
    </w:div>
    <w:div w:id="1053697684">
      <w:bodyDiv w:val="1"/>
      <w:marLeft w:val="0"/>
      <w:marRight w:val="0"/>
      <w:marTop w:val="0"/>
      <w:marBottom w:val="0"/>
      <w:divBdr>
        <w:top w:val="none" w:sz="0" w:space="0" w:color="auto"/>
        <w:left w:val="none" w:sz="0" w:space="0" w:color="auto"/>
        <w:bottom w:val="none" w:sz="0" w:space="0" w:color="auto"/>
        <w:right w:val="none" w:sz="0" w:space="0" w:color="auto"/>
      </w:divBdr>
    </w:div>
    <w:div w:id="1080063465">
      <w:bodyDiv w:val="1"/>
      <w:marLeft w:val="0"/>
      <w:marRight w:val="0"/>
      <w:marTop w:val="0"/>
      <w:marBottom w:val="0"/>
      <w:divBdr>
        <w:top w:val="none" w:sz="0" w:space="0" w:color="auto"/>
        <w:left w:val="none" w:sz="0" w:space="0" w:color="auto"/>
        <w:bottom w:val="none" w:sz="0" w:space="0" w:color="auto"/>
        <w:right w:val="none" w:sz="0" w:space="0" w:color="auto"/>
      </w:divBdr>
    </w:div>
    <w:div w:id="1111898059">
      <w:bodyDiv w:val="1"/>
      <w:marLeft w:val="0"/>
      <w:marRight w:val="0"/>
      <w:marTop w:val="0"/>
      <w:marBottom w:val="0"/>
      <w:divBdr>
        <w:top w:val="none" w:sz="0" w:space="0" w:color="auto"/>
        <w:left w:val="none" w:sz="0" w:space="0" w:color="auto"/>
        <w:bottom w:val="none" w:sz="0" w:space="0" w:color="auto"/>
        <w:right w:val="none" w:sz="0" w:space="0" w:color="auto"/>
      </w:divBdr>
    </w:div>
    <w:div w:id="1138378537">
      <w:bodyDiv w:val="1"/>
      <w:marLeft w:val="0"/>
      <w:marRight w:val="0"/>
      <w:marTop w:val="0"/>
      <w:marBottom w:val="0"/>
      <w:divBdr>
        <w:top w:val="none" w:sz="0" w:space="0" w:color="auto"/>
        <w:left w:val="none" w:sz="0" w:space="0" w:color="auto"/>
        <w:bottom w:val="none" w:sz="0" w:space="0" w:color="auto"/>
        <w:right w:val="none" w:sz="0" w:space="0" w:color="auto"/>
      </w:divBdr>
    </w:div>
    <w:div w:id="1162811272">
      <w:bodyDiv w:val="1"/>
      <w:marLeft w:val="0"/>
      <w:marRight w:val="0"/>
      <w:marTop w:val="0"/>
      <w:marBottom w:val="0"/>
      <w:divBdr>
        <w:top w:val="none" w:sz="0" w:space="0" w:color="auto"/>
        <w:left w:val="none" w:sz="0" w:space="0" w:color="auto"/>
        <w:bottom w:val="none" w:sz="0" w:space="0" w:color="auto"/>
        <w:right w:val="none" w:sz="0" w:space="0" w:color="auto"/>
      </w:divBdr>
    </w:div>
    <w:div w:id="1168983255">
      <w:bodyDiv w:val="1"/>
      <w:marLeft w:val="0"/>
      <w:marRight w:val="0"/>
      <w:marTop w:val="0"/>
      <w:marBottom w:val="0"/>
      <w:divBdr>
        <w:top w:val="none" w:sz="0" w:space="0" w:color="auto"/>
        <w:left w:val="none" w:sz="0" w:space="0" w:color="auto"/>
        <w:bottom w:val="none" w:sz="0" w:space="0" w:color="auto"/>
        <w:right w:val="none" w:sz="0" w:space="0" w:color="auto"/>
      </w:divBdr>
    </w:div>
    <w:div w:id="1192888097">
      <w:bodyDiv w:val="1"/>
      <w:marLeft w:val="0"/>
      <w:marRight w:val="0"/>
      <w:marTop w:val="0"/>
      <w:marBottom w:val="0"/>
      <w:divBdr>
        <w:top w:val="none" w:sz="0" w:space="0" w:color="auto"/>
        <w:left w:val="none" w:sz="0" w:space="0" w:color="auto"/>
        <w:bottom w:val="none" w:sz="0" w:space="0" w:color="auto"/>
        <w:right w:val="none" w:sz="0" w:space="0" w:color="auto"/>
      </w:divBdr>
    </w:div>
    <w:div w:id="1274359439">
      <w:bodyDiv w:val="1"/>
      <w:marLeft w:val="0"/>
      <w:marRight w:val="0"/>
      <w:marTop w:val="0"/>
      <w:marBottom w:val="0"/>
      <w:divBdr>
        <w:top w:val="none" w:sz="0" w:space="0" w:color="auto"/>
        <w:left w:val="none" w:sz="0" w:space="0" w:color="auto"/>
        <w:bottom w:val="none" w:sz="0" w:space="0" w:color="auto"/>
        <w:right w:val="none" w:sz="0" w:space="0" w:color="auto"/>
      </w:divBdr>
    </w:div>
    <w:div w:id="1320646897">
      <w:bodyDiv w:val="1"/>
      <w:marLeft w:val="0"/>
      <w:marRight w:val="0"/>
      <w:marTop w:val="0"/>
      <w:marBottom w:val="0"/>
      <w:divBdr>
        <w:top w:val="none" w:sz="0" w:space="0" w:color="auto"/>
        <w:left w:val="none" w:sz="0" w:space="0" w:color="auto"/>
        <w:bottom w:val="none" w:sz="0" w:space="0" w:color="auto"/>
        <w:right w:val="none" w:sz="0" w:space="0" w:color="auto"/>
      </w:divBdr>
    </w:div>
    <w:div w:id="1332953208">
      <w:bodyDiv w:val="1"/>
      <w:marLeft w:val="0"/>
      <w:marRight w:val="0"/>
      <w:marTop w:val="0"/>
      <w:marBottom w:val="0"/>
      <w:divBdr>
        <w:top w:val="none" w:sz="0" w:space="0" w:color="auto"/>
        <w:left w:val="none" w:sz="0" w:space="0" w:color="auto"/>
        <w:bottom w:val="none" w:sz="0" w:space="0" w:color="auto"/>
        <w:right w:val="none" w:sz="0" w:space="0" w:color="auto"/>
      </w:divBdr>
    </w:div>
    <w:div w:id="1354109411">
      <w:bodyDiv w:val="1"/>
      <w:marLeft w:val="0"/>
      <w:marRight w:val="0"/>
      <w:marTop w:val="0"/>
      <w:marBottom w:val="0"/>
      <w:divBdr>
        <w:top w:val="none" w:sz="0" w:space="0" w:color="auto"/>
        <w:left w:val="none" w:sz="0" w:space="0" w:color="auto"/>
        <w:bottom w:val="none" w:sz="0" w:space="0" w:color="auto"/>
        <w:right w:val="none" w:sz="0" w:space="0" w:color="auto"/>
      </w:divBdr>
    </w:div>
    <w:div w:id="1357775360">
      <w:bodyDiv w:val="1"/>
      <w:marLeft w:val="0"/>
      <w:marRight w:val="0"/>
      <w:marTop w:val="0"/>
      <w:marBottom w:val="0"/>
      <w:divBdr>
        <w:top w:val="none" w:sz="0" w:space="0" w:color="auto"/>
        <w:left w:val="none" w:sz="0" w:space="0" w:color="auto"/>
        <w:bottom w:val="none" w:sz="0" w:space="0" w:color="auto"/>
        <w:right w:val="none" w:sz="0" w:space="0" w:color="auto"/>
      </w:divBdr>
    </w:div>
    <w:div w:id="1398355832">
      <w:bodyDiv w:val="1"/>
      <w:marLeft w:val="0"/>
      <w:marRight w:val="0"/>
      <w:marTop w:val="0"/>
      <w:marBottom w:val="0"/>
      <w:divBdr>
        <w:top w:val="none" w:sz="0" w:space="0" w:color="auto"/>
        <w:left w:val="none" w:sz="0" w:space="0" w:color="auto"/>
        <w:bottom w:val="none" w:sz="0" w:space="0" w:color="auto"/>
        <w:right w:val="none" w:sz="0" w:space="0" w:color="auto"/>
      </w:divBdr>
    </w:div>
    <w:div w:id="1458182459">
      <w:bodyDiv w:val="1"/>
      <w:marLeft w:val="0"/>
      <w:marRight w:val="0"/>
      <w:marTop w:val="0"/>
      <w:marBottom w:val="0"/>
      <w:divBdr>
        <w:top w:val="none" w:sz="0" w:space="0" w:color="auto"/>
        <w:left w:val="none" w:sz="0" w:space="0" w:color="auto"/>
        <w:bottom w:val="none" w:sz="0" w:space="0" w:color="auto"/>
        <w:right w:val="none" w:sz="0" w:space="0" w:color="auto"/>
      </w:divBdr>
    </w:div>
    <w:div w:id="1463957108">
      <w:bodyDiv w:val="1"/>
      <w:marLeft w:val="0"/>
      <w:marRight w:val="0"/>
      <w:marTop w:val="0"/>
      <w:marBottom w:val="0"/>
      <w:divBdr>
        <w:top w:val="none" w:sz="0" w:space="0" w:color="auto"/>
        <w:left w:val="none" w:sz="0" w:space="0" w:color="auto"/>
        <w:bottom w:val="none" w:sz="0" w:space="0" w:color="auto"/>
        <w:right w:val="none" w:sz="0" w:space="0" w:color="auto"/>
      </w:divBdr>
    </w:div>
    <w:div w:id="1473521702">
      <w:bodyDiv w:val="1"/>
      <w:marLeft w:val="0"/>
      <w:marRight w:val="0"/>
      <w:marTop w:val="0"/>
      <w:marBottom w:val="0"/>
      <w:divBdr>
        <w:top w:val="none" w:sz="0" w:space="0" w:color="auto"/>
        <w:left w:val="none" w:sz="0" w:space="0" w:color="auto"/>
        <w:bottom w:val="none" w:sz="0" w:space="0" w:color="auto"/>
        <w:right w:val="none" w:sz="0" w:space="0" w:color="auto"/>
      </w:divBdr>
    </w:div>
    <w:div w:id="1476292393">
      <w:bodyDiv w:val="1"/>
      <w:marLeft w:val="0"/>
      <w:marRight w:val="0"/>
      <w:marTop w:val="0"/>
      <w:marBottom w:val="0"/>
      <w:divBdr>
        <w:top w:val="none" w:sz="0" w:space="0" w:color="auto"/>
        <w:left w:val="none" w:sz="0" w:space="0" w:color="auto"/>
        <w:bottom w:val="none" w:sz="0" w:space="0" w:color="auto"/>
        <w:right w:val="none" w:sz="0" w:space="0" w:color="auto"/>
      </w:divBdr>
    </w:div>
    <w:div w:id="1512793750">
      <w:bodyDiv w:val="1"/>
      <w:marLeft w:val="0"/>
      <w:marRight w:val="0"/>
      <w:marTop w:val="0"/>
      <w:marBottom w:val="0"/>
      <w:divBdr>
        <w:top w:val="none" w:sz="0" w:space="0" w:color="auto"/>
        <w:left w:val="none" w:sz="0" w:space="0" w:color="auto"/>
        <w:bottom w:val="none" w:sz="0" w:space="0" w:color="auto"/>
        <w:right w:val="none" w:sz="0" w:space="0" w:color="auto"/>
      </w:divBdr>
    </w:div>
    <w:div w:id="1546335000">
      <w:bodyDiv w:val="1"/>
      <w:marLeft w:val="0"/>
      <w:marRight w:val="0"/>
      <w:marTop w:val="0"/>
      <w:marBottom w:val="0"/>
      <w:divBdr>
        <w:top w:val="none" w:sz="0" w:space="0" w:color="auto"/>
        <w:left w:val="none" w:sz="0" w:space="0" w:color="auto"/>
        <w:bottom w:val="none" w:sz="0" w:space="0" w:color="auto"/>
        <w:right w:val="none" w:sz="0" w:space="0" w:color="auto"/>
      </w:divBdr>
    </w:div>
    <w:div w:id="1560165074">
      <w:bodyDiv w:val="1"/>
      <w:marLeft w:val="0"/>
      <w:marRight w:val="0"/>
      <w:marTop w:val="0"/>
      <w:marBottom w:val="0"/>
      <w:divBdr>
        <w:top w:val="none" w:sz="0" w:space="0" w:color="auto"/>
        <w:left w:val="none" w:sz="0" w:space="0" w:color="auto"/>
        <w:bottom w:val="none" w:sz="0" w:space="0" w:color="auto"/>
        <w:right w:val="none" w:sz="0" w:space="0" w:color="auto"/>
      </w:divBdr>
    </w:div>
    <w:div w:id="1615868456">
      <w:bodyDiv w:val="1"/>
      <w:marLeft w:val="0"/>
      <w:marRight w:val="0"/>
      <w:marTop w:val="0"/>
      <w:marBottom w:val="0"/>
      <w:divBdr>
        <w:top w:val="none" w:sz="0" w:space="0" w:color="auto"/>
        <w:left w:val="none" w:sz="0" w:space="0" w:color="auto"/>
        <w:bottom w:val="none" w:sz="0" w:space="0" w:color="auto"/>
        <w:right w:val="none" w:sz="0" w:space="0" w:color="auto"/>
      </w:divBdr>
    </w:div>
    <w:div w:id="1645893054">
      <w:bodyDiv w:val="1"/>
      <w:marLeft w:val="0"/>
      <w:marRight w:val="0"/>
      <w:marTop w:val="0"/>
      <w:marBottom w:val="0"/>
      <w:divBdr>
        <w:top w:val="none" w:sz="0" w:space="0" w:color="auto"/>
        <w:left w:val="none" w:sz="0" w:space="0" w:color="auto"/>
        <w:bottom w:val="none" w:sz="0" w:space="0" w:color="auto"/>
        <w:right w:val="none" w:sz="0" w:space="0" w:color="auto"/>
      </w:divBdr>
    </w:div>
    <w:div w:id="1646426217">
      <w:bodyDiv w:val="1"/>
      <w:marLeft w:val="0"/>
      <w:marRight w:val="0"/>
      <w:marTop w:val="0"/>
      <w:marBottom w:val="0"/>
      <w:divBdr>
        <w:top w:val="none" w:sz="0" w:space="0" w:color="auto"/>
        <w:left w:val="none" w:sz="0" w:space="0" w:color="auto"/>
        <w:bottom w:val="none" w:sz="0" w:space="0" w:color="auto"/>
        <w:right w:val="none" w:sz="0" w:space="0" w:color="auto"/>
      </w:divBdr>
    </w:div>
    <w:div w:id="1649743819">
      <w:bodyDiv w:val="1"/>
      <w:marLeft w:val="0"/>
      <w:marRight w:val="0"/>
      <w:marTop w:val="0"/>
      <w:marBottom w:val="0"/>
      <w:divBdr>
        <w:top w:val="none" w:sz="0" w:space="0" w:color="auto"/>
        <w:left w:val="none" w:sz="0" w:space="0" w:color="auto"/>
        <w:bottom w:val="none" w:sz="0" w:space="0" w:color="auto"/>
        <w:right w:val="none" w:sz="0" w:space="0" w:color="auto"/>
      </w:divBdr>
    </w:div>
    <w:div w:id="1696539797">
      <w:bodyDiv w:val="1"/>
      <w:marLeft w:val="0"/>
      <w:marRight w:val="0"/>
      <w:marTop w:val="0"/>
      <w:marBottom w:val="0"/>
      <w:divBdr>
        <w:top w:val="none" w:sz="0" w:space="0" w:color="auto"/>
        <w:left w:val="none" w:sz="0" w:space="0" w:color="auto"/>
        <w:bottom w:val="none" w:sz="0" w:space="0" w:color="auto"/>
        <w:right w:val="none" w:sz="0" w:space="0" w:color="auto"/>
      </w:divBdr>
    </w:div>
    <w:div w:id="1724595477">
      <w:bodyDiv w:val="1"/>
      <w:marLeft w:val="0"/>
      <w:marRight w:val="0"/>
      <w:marTop w:val="0"/>
      <w:marBottom w:val="0"/>
      <w:divBdr>
        <w:top w:val="none" w:sz="0" w:space="0" w:color="auto"/>
        <w:left w:val="none" w:sz="0" w:space="0" w:color="auto"/>
        <w:bottom w:val="none" w:sz="0" w:space="0" w:color="auto"/>
        <w:right w:val="none" w:sz="0" w:space="0" w:color="auto"/>
      </w:divBdr>
    </w:div>
    <w:div w:id="1767310235">
      <w:bodyDiv w:val="1"/>
      <w:marLeft w:val="0"/>
      <w:marRight w:val="0"/>
      <w:marTop w:val="0"/>
      <w:marBottom w:val="0"/>
      <w:divBdr>
        <w:top w:val="none" w:sz="0" w:space="0" w:color="auto"/>
        <w:left w:val="none" w:sz="0" w:space="0" w:color="auto"/>
        <w:bottom w:val="none" w:sz="0" w:space="0" w:color="auto"/>
        <w:right w:val="none" w:sz="0" w:space="0" w:color="auto"/>
      </w:divBdr>
    </w:div>
    <w:div w:id="1796099720">
      <w:bodyDiv w:val="1"/>
      <w:marLeft w:val="0"/>
      <w:marRight w:val="0"/>
      <w:marTop w:val="0"/>
      <w:marBottom w:val="0"/>
      <w:divBdr>
        <w:top w:val="none" w:sz="0" w:space="0" w:color="auto"/>
        <w:left w:val="none" w:sz="0" w:space="0" w:color="auto"/>
        <w:bottom w:val="none" w:sz="0" w:space="0" w:color="auto"/>
        <w:right w:val="none" w:sz="0" w:space="0" w:color="auto"/>
      </w:divBdr>
    </w:div>
    <w:div w:id="1803574113">
      <w:bodyDiv w:val="1"/>
      <w:marLeft w:val="0"/>
      <w:marRight w:val="0"/>
      <w:marTop w:val="0"/>
      <w:marBottom w:val="0"/>
      <w:divBdr>
        <w:top w:val="none" w:sz="0" w:space="0" w:color="auto"/>
        <w:left w:val="none" w:sz="0" w:space="0" w:color="auto"/>
        <w:bottom w:val="none" w:sz="0" w:space="0" w:color="auto"/>
        <w:right w:val="none" w:sz="0" w:space="0" w:color="auto"/>
      </w:divBdr>
    </w:div>
    <w:div w:id="1855027120">
      <w:bodyDiv w:val="1"/>
      <w:marLeft w:val="0"/>
      <w:marRight w:val="0"/>
      <w:marTop w:val="0"/>
      <w:marBottom w:val="0"/>
      <w:divBdr>
        <w:top w:val="none" w:sz="0" w:space="0" w:color="auto"/>
        <w:left w:val="none" w:sz="0" w:space="0" w:color="auto"/>
        <w:bottom w:val="none" w:sz="0" w:space="0" w:color="auto"/>
        <w:right w:val="none" w:sz="0" w:space="0" w:color="auto"/>
      </w:divBdr>
    </w:div>
    <w:div w:id="1862234790">
      <w:bodyDiv w:val="1"/>
      <w:marLeft w:val="0"/>
      <w:marRight w:val="0"/>
      <w:marTop w:val="0"/>
      <w:marBottom w:val="0"/>
      <w:divBdr>
        <w:top w:val="none" w:sz="0" w:space="0" w:color="auto"/>
        <w:left w:val="none" w:sz="0" w:space="0" w:color="auto"/>
        <w:bottom w:val="none" w:sz="0" w:space="0" w:color="auto"/>
        <w:right w:val="none" w:sz="0" w:space="0" w:color="auto"/>
      </w:divBdr>
    </w:div>
    <w:div w:id="1878200815">
      <w:bodyDiv w:val="1"/>
      <w:marLeft w:val="0"/>
      <w:marRight w:val="0"/>
      <w:marTop w:val="0"/>
      <w:marBottom w:val="0"/>
      <w:divBdr>
        <w:top w:val="none" w:sz="0" w:space="0" w:color="auto"/>
        <w:left w:val="none" w:sz="0" w:space="0" w:color="auto"/>
        <w:bottom w:val="none" w:sz="0" w:space="0" w:color="auto"/>
        <w:right w:val="none" w:sz="0" w:space="0" w:color="auto"/>
      </w:divBdr>
    </w:div>
    <w:div w:id="1892302526">
      <w:bodyDiv w:val="1"/>
      <w:marLeft w:val="0"/>
      <w:marRight w:val="0"/>
      <w:marTop w:val="0"/>
      <w:marBottom w:val="0"/>
      <w:divBdr>
        <w:top w:val="none" w:sz="0" w:space="0" w:color="auto"/>
        <w:left w:val="none" w:sz="0" w:space="0" w:color="auto"/>
        <w:bottom w:val="none" w:sz="0" w:space="0" w:color="auto"/>
        <w:right w:val="none" w:sz="0" w:space="0" w:color="auto"/>
      </w:divBdr>
    </w:div>
    <w:div w:id="1905069181">
      <w:bodyDiv w:val="1"/>
      <w:marLeft w:val="0"/>
      <w:marRight w:val="0"/>
      <w:marTop w:val="0"/>
      <w:marBottom w:val="0"/>
      <w:divBdr>
        <w:top w:val="none" w:sz="0" w:space="0" w:color="auto"/>
        <w:left w:val="none" w:sz="0" w:space="0" w:color="auto"/>
        <w:bottom w:val="none" w:sz="0" w:space="0" w:color="auto"/>
        <w:right w:val="none" w:sz="0" w:space="0" w:color="auto"/>
      </w:divBdr>
    </w:div>
    <w:div w:id="1935743418">
      <w:bodyDiv w:val="1"/>
      <w:marLeft w:val="0"/>
      <w:marRight w:val="0"/>
      <w:marTop w:val="0"/>
      <w:marBottom w:val="0"/>
      <w:divBdr>
        <w:top w:val="none" w:sz="0" w:space="0" w:color="auto"/>
        <w:left w:val="none" w:sz="0" w:space="0" w:color="auto"/>
        <w:bottom w:val="none" w:sz="0" w:space="0" w:color="auto"/>
        <w:right w:val="none" w:sz="0" w:space="0" w:color="auto"/>
      </w:divBdr>
    </w:div>
    <w:div w:id="1939289310">
      <w:bodyDiv w:val="1"/>
      <w:marLeft w:val="0"/>
      <w:marRight w:val="0"/>
      <w:marTop w:val="0"/>
      <w:marBottom w:val="0"/>
      <w:divBdr>
        <w:top w:val="none" w:sz="0" w:space="0" w:color="auto"/>
        <w:left w:val="none" w:sz="0" w:space="0" w:color="auto"/>
        <w:bottom w:val="none" w:sz="0" w:space="0" w:color="auto"/>
        <w:right w:val="none" w:sz="0" w:space="0" w:color="auto"/>
      </w:divBdr>
    </w:div>
    <w:div w:id="1959099893">
      <w:bodyDiv w:val="1"/>
      <w:marLeft w:val="0"/>
      <w:marRight w:val="0"/>
      <w:marTop w:val="0"/>
      <w:marBottom w:val="0"/>
      <w:divBdr>
        <w:top w:val="none" w:sz="0" w:space="0" w:color="auto"/>
        <w:left w:val="none" w:sz="0" w:space="0" w:color="auto"/>
        <w:bottom w:val="none" w:sz="0" w:space="0" w:color="auto"/>
        <w:right w:val="none" w:sz="0" w:space="0" w:color="auto"/>
      </w:divBdr>
    </w:div>
    <w:div w:id="1961692228">
      <w:bodyDiv w:val="1"/>
      <w:marLeft w:val="0"/>
      <w:marRight w:val="0"/>
      <w:marTop w:val="0"/>
      <w:marBottom w:val="0"/>
      <w:divBdr>
        <w:top w:val="none" w:sz="0" w:space="0" w:color="auto"/>
        <w:left w:val="none" w:sz="0" w:space="0" w:color="auto"/>
        <w:bottom w:val="none" w:sz="0" w:space="0" w:color="auto"/>
        <w:right w:val="none" w:sz="0" w:space="0" w:color="auto"/>
      </w:divBdr>
    </w:div>
    <w:div w:id="1971787027">
      <w:bodyDiv w:val="1"/>
      <w:marLeft w:val="0"/>
      <w:marRight w:val="0"/>
      <w:marTop w:val="0"/>
      <w:marBottom w:val="0"/>
      <w:divBdr>
        <w:top w:val="none" w:sz="0" w:space="0" w:color="auto"/>
        <w:left w:val="none" w:sz="0" w:space="0" w:color="auto"/>
        <w:bottom w:val="none" w:sz="0" w:space="0" w:color="auto"/>
        <w:right w:val="none" w:sz="0" w:space="0" w:color="auto"/>
      </w:divBdr>
    </w:div>
    <w:div w:id="2002005956">
      <w:bodyDiv w:val="1"/>
      <w:marLeft w:val="0"/>
      <w:marRight w:val="0"/>
      <w:marTop w:val="0"/>
      <w:marBottom w:val="0"/>
      <w:divBdr>
        <w:top w:val="none" w:sz="0" w:space="0" w:color="auto"/>
        <w:left w:val="none" w:sz="0" w:space="0" w:color="auto"/>
        <w:bottom w:val="none" w:sz="0" w:space="0" w:color="auto"/>
        <w:right w:val="none" w:sz="0" w:space="0" w:color="auto"/>
      </w:divBdr>
    </w:div>
    <w:div w:id="2015305053">
      <w:bodyDiv w:val="1"/>
      <w:marLeft w:val="0"/>
      <w:marRight w:val="0"/>
      <w:marTop w:val="0"/>
      <w:marBottom w:val="0"/>
      <w:divBdr>
        <w:top w:val="none" w:sz="0" w:space="0" w:color="auto"/>
        <w:left w:val="none" w:sz="0" w:space="0" w:color="auto"/>
        <w:bottom w:val="none" w:sz="0" w:space="0" w:color="auto"/>
        <w:right w:val="none" w:sz="0" w:space="0" w:color="auto"/>
      </w:divBdr>
    </w:div>
    <w:div w:id="2029022997">
      <w:bodyDiv w:val="1"/>
      <w:marLeft w:val="0"/>
      <w:marRight w:val="0"/>
      <w:marTop w:val="0"/>
      <w:marBottom w:val="0"/>
      <w:divBdr>
        <w:top w:val="none" w:sz="0" w:space="0" w:color="auto"/>
        <w:left w:val="none" w:sz="0" w:space="0" w:color="auto"/>
        <w:bottom w:val="none" w:sz="0" w:space="0" w:color="auto"/>
        <w:right w:val="none" w:sz="0" w:space="0" w:color="auto"/>
      </w:divBdr>
    </w:div>
    <w:div w:id="2053574448">
      <w:bodyDiv w:val="1"/>
      <w:marLeft w:val="0"/>
      <w:marRight w:val="0"/>
      <w:marTop w:val="0"/>
      <w:marBottom w:val="0"/>
      <w:divBdr>
        <w:top w:val="none" w:sz="0" w:space="0" w:color="auto"/>
        <w:left w:val="none" w:sz="0" w:space="0" w:color="auto"/>
        <w:bottom w:val="none" w:sz="0" w:space="0" w:color="auto"/>
        <w:right w:val="none" w:sz="0" w:space="0" w:color="auto"/>
      </w:divBdr>
    </w:div>
    <w:div w:id="2057852850">
      <w:bodyDiv w:val="1"/>
      <w:marLeft w:val="0"/>
      <w:marRight w:val="0"/>
      <w:marTop w:val="0"/>
      <w:marBottom w:val="0"/>
      <w:divBdr>
        <w:top w:val="none" w:sz="0" w:space="0" w:color="auto"/>
        <w:left w:val="none" w:sz="0" w:space="0" w:color="auto"/>
        <w:bottom w:val="none" w:sz="0" w:space="0" w:color="auto"/>
        <w:right w:val="none" w:sz="0" w:space="0" w:color="auto"/>
      </w:divBdr>
    </w:div>
    <w:div w:id="2072070861">
      <w:bodyDiv w:val="1"/>
      <w:marLeft w:val="0"/>
      <w:marRight w:val="0"/>
      <w:marTop w:val="0"/>
      <w:marBottom w:val="0"/>
      <w:divBdr>
        <w:top w:val="none" w:sz="0" w:space="0" w:color="auto"/>
        <w:left w:val="none" w:sz="0" w:space="0" w:color="auto"/>
        <w:bottom w:val="none" w:sz="0" w:space="0" w:color="auto"/>
        <w:right w:val="none" w:sz="0" w:space="0" w:color="auto"/>
      </w:divBdr>
    </w:div>
    <w:div w:id="2103640426">
      <w:bodyDiv w:val="1"/>
      <w:marLeft w:val="0"/>
      <w:marRight w:val="0"/>
      <w:marTop w:val="0"/>
      <w:marBottom w:val="0"/>
      <w:divBdr>
        <w:top w:val="none" w:sz="0" w:space="0" w:color="auto"/>
        <w:left w:val="none" w:sz="0" w:space="0" w:color="auto"/>
        <w:bottom w:val="none" w:sz="0" w:space="0" w:color="auto"/>
        <w:right w:val="none" w:sz="0" w:space="0" w:color="auto"/>
      </w:divBdr>
    </w:div>
    <w:div w:id="2113091188">
      <w:bodyDiv w:val="1"/>
      <w:marLeft w:val="0"/>
      <w:marRight w:val="0"/>
      <w:marTop w:val="0"/>
      <w:marBottom w:val="0"/>
      <w:divBdr>
        <w:top w:val="none" w:sz="0" w:space="0" w:color="auto"/>
        <w:left w:val="none" w:sz="0" w:space="0" w:color="auto"/>
        <w:bottom w:val="none" w:sz="0" w:space="0" w:color="auto"/>
        <w:right w:val="none" w:sz="0" w:space="0" w:color="auto"/>
      </w:divBdr>
    </w:div>
    <w:div w:id="2122407049">
      <w:bodyDiv w:val="1"/>
      <w:marLeft w:val="0"/>
      <w:marRight w:val="0"/>
      <w:marTop w:val="0"/>
      <w:marBottom w:val="0"/>
      <w:divBdr>
        <w:top w:val="none" w:sz="0" w:space="0" w:color="auto"/>
        <w:left w:val="none" w:sz="0" w:space="0" w:color="auto"/>
        <w:bottom w:val="none" w:sz="0" w:space="0" w:color="auto"/>
        <w:right w:val="none" w:sz="0" w:space="0" w:color="auto"/>
      </w:divBdr>
    </w:div>
    <w:div w:id="21336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D914D-7297-47D1-9718-E519029C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13224</Words>
  <Characters>72737</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85790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6</cp:revision>
  <cp:lastPrinted>2023-06-07T09:44:00Z</cp:lastPrinted>
  <dcterms:created xsi:type="dcterms:W3CDTF">2023-10-24T22:07:00Z</dcterms:created>
  <dcterms:modified xsi:type="dcterms:W3CDTF">2023-10-24T22:59:00Z</dcterms:modified>
</cp:coreProperties>
</file>