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B5DC" w14:textId="77777777" w:rsidR="00971596" w:rsidRPr="000A6264" w:rsidRDefault="00971596" w:rsidP="00971596">
      <w:pPr>
        <w:spacing w:before="240" w:after="240"/>
        <w:rPr>
          <w:rFonts w:ascii="Century Gothic" w:hAnsi="Century Gothic"/>
          <w:color w:val="1F2A48"/>
        </w:rPr>
      </w:pPr>
      <w:r w:rsidRPr="000A6264">
        <w:rPr>
          <w:rFonts w:ascii="Century Gothic" w:hAnsi="Century Gothic"/>
          <w:color w:val="1F2A48"/>
        </w:rPr>
        <w:t>INFORMACIÓN GENERAL SOBRE TRANSPARENCIA</w:t>
      </w:r>
    </w:p>
    <w:p w14:paraId="6FE4A604" w14:textId="77777777" w:rsidR="00971596" w:rsidRPr="000A6264" w:rsidRDefault="00971596" w:rsidP="00971596">
      <w:pPr>
        <w:pStyle w:val="NormalWeb"/>
        <w:shd w:val="clear" w:color="auto" w:fill="FFFFFF"/>
        <w:spacing w:before="0" w:beforeAutospacing="0" w:after="0" w:afterAutospacing="0" w:line="335" w:lineRule="atLeast"/>
        <w:jc w:val="both"/>
        <w:textAlignment w:val="baseline"/>
        <w:rPr>
          <w:rFonts w:ascii="Century Gothic" w:eastAsia="MS Mincho" w:hAnsi="Century Gothic"/>
          <w:sz w:val="22"/>
          <w:szCs w:val="22"/>
        </w:rPr>
      </w:pPr>
      <w:r w:rsidRPr="000A6264">
        <w:rPr>
          <w:rFonts w:ascii="Century Gothic" w:eastAsia="MS Mincho" w:hAnsi="Century Gothic"/>
          <w:sz w:val="22"/>
          <w:szCs w:val="22"/>
        </w:rPr>
        <w:t>La </w:t>
      </w:r>
      <w:hyperlink r:id="rId6" w:tgtFrame="_blank" w:history="1">
        <w:r w:rsidRPr="000A6264">
          <w:rPr>
            <w:rFonts w:ascii="Century Gothic" w:eastAsia="MS Mincho" w:hAnsi="Century Gothic"/>
            <w:sz w:val="22"/>
            <w:szCs w:val="22"/>
          </w:rPr>
          <w:t>Ley Canaria 12/2014, de 26 de diciembre</w:t>
        </w:r>
      </w:hyperlink>
      <w:r w:rsidRPr="000A6264">
        <w:rPr>
          <w:rFonts w:ascii="Century Gothic" w:eastAsia="MS Mincho" w:hAnsi="Century Gothic"/>
          <w:sz w:val="22"/>
          <w:szCs w:val="22"/>
        </w:rPr>
        <w:t>, de Transparencia y de Acceso a la Información Pública, en</w:t>
      </w:r>
      <w:r w:rsidRPr="000A6264">
        <w:rPr>
          <w:rFonts w:ascii="Century Gothic" w:hAnsi="Century Gothic" w:cs="Arial"/>
          <w:sz w:val="22"/>
          <w:szCs w:val="22"/>
        </w:rPr>
        <w:t xml:space="preserve"> </w:t>
      </w:r>
      <w:r w:rsidRPr="000A6264">
        <w:rPr>
          <w:rFonts w:ascii="Century Gothic" w:eastAsia="MS Mincho" w:hAnsi="Century Gothic"/>
          <w:sz w:val="22"/>
          <w:szCs w:val="22"/>
        </w:rPr>
        <w:t>su Título II "Publicidad de la información”, en su Sección 2ª, dedicada a la Información sujeta a publicación, detalla en los </w:t>
      </w:r>
      <w:hyperlink r:id="rId7" w:anchor="s2" w:tgtFrame="_blank" w:history="1">
        <w:r w:rsidRPr="000A6264">
          <w:rPr>
            <w:rFonts w:ascii="Century Gothic" w:eastAsia="MS Mincho" w:hAnsi="Century Gothic"/>
            <w:sz w:val="22"/>
            <w:szCs w:val="22"/>
          </w:rPr>
          <w:t>artículos 17 al 33</w:t>
        </w:r>
      </w:hyperlink>
      <w:r w:rsidRPr="000A6264">
        <w:rPr>
          <w:rFonts w:ascii="Century Gothic" w:eastAsia="MS Mincho" w:hAnsi="Century Gothic"/>
          <w:sz w:val="22"/>
          <w:szCs w:val="22"/>
        </w:rPr>
        <w:t> dicha información.</w:t>
      </w:r>
    </w:p>
    <w:p w14:paraId="73D30CF4" w14:textId="0CA6FC3A" w:rsidR="00971596" w:rsidRDefault="00971596" w:rsidP="000A6264">
      <w:pPr>
        <w:pStyle w:val="NormalWeb"/>
        <w:shd w:val="clear" w:color="auto" w:fill="FFFFFF"/>
        <w:spacing w:before="0" w:beforeAutospacing="0" w:after="0" w:afterAutospacing="0" w:line="335" w:lineRule="atLeast"/>
        <w:jc w:val="both"/>
        <w:textAlignment w:val="baseline"/>
        <w:rPr>
          <w:rFonts w:ascii="Century Gothic" w:eastAsia="MS Mincho" w:hAnsi="Century Gothic"/>
          <w:sz w:val="22"/>
          <w:szCs w:val="22"/>
        </w:rPr>
      </w:pPr>
      <w:r w:rsidRPr="000A6264">
        <w:rPr>
          <w:rFonts w:ascii="Century Gothic" w:eastAsia="MS Mincho" w:hAnsi="Century Gothic"/>
          <w:sz w:val="22"/>
          <w:szCs w:val="22"/>
        </w:rPr>
        <w:t>A continuación, siguiendo el orden de los artículos mencionados, se relaciona la información de</w:t>
      </w:r>
      <w:r w:rsidRPr="000A6264">
        <w:rPr>
          <w:rFonts w:ascii="Century Gothic" w:hAnsi="Century Gothic" w:cstheme="minorHAnsi"/>
          <w:sz w:val="22"/>
          <w:szCs w:val="22"/>
        </w:rPr>
        <w:t xml:space="preserve"> Promoción de la Ciudad de Las Palmas de Gran Canaria, </w:t>
      </w:r>
      <w:r w:rsidR="000A6264" w:rsidRPr="000A6264">
        <w:rPr>
          <w:rFonts w:ascii="Century Gothic" w:hAnsi="Century Gothic" w:cstheme="minorHAnsi"/>
          <w:sz w:val="22"/>
          <w:szCs w:val="22"/>
        </w:rPr>
        <w:t>S.A.</w:t>
      </w:r>
      <w:r w:rsidRPr="000A6264">
        <w:rPr>
          <w:rFonts w:ascii="Century Gothic" w:eastAsia="MS Mincho" w:hAnsi="Century Gothic"/>
          <w:sz w:val="22"/>
          <w:szCs w:val="22"/>
        </w:rPr>
        <w:t xml:space="preserve"> en esta materia.</w:t>
      </w:r>
    </w:p>
    <w:p w14:paraId="2D736257" w14:textId="77777777" w:rsidR="000A6264" w:rsidRPr="000A6264" w:rsidRDefault="000A6264" w:rsidP="000A6264">
      <w:pPr>
        <w:pStyle w:val="NormalWeb"/>
        <w:shd w:val="clear" w:color="auto" w:fill="FFFFFF"/>
        <w:spacing w:before="0" w:beforeAutospacing="0" w:after="0" w:afterAutospacing="0" w:line="335" w:lineRule="atLeast"/>
        <w:jc w:val="both"/>
        <w:textAlignment w:val="baseline"/>
        <w:rPr>
          <w:rFonts w:ascii="Century Gothic" w:eastAsia="MS Mincho" w:hAnsi="Century Gothic"/>
          <w:sz w:val="22"/>
          <w:szCs w:val="22"/>
        </w:rPr>
      </w:pPr>
    </w:p>
    <w:p w14:paraId="02A4D565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17 Información institucional.</w:t>
      </w:r>
    </w:p>
    <w:p w14:paraId="089B34C6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18 Información en materia organizativa.</w:t>
      </w:r>
    </w:p>
    <w:p w14:paraId="4544426F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 .19 Información relativa al personal de libre nombramiento.</w:t>
      </w:r>
    </w:p>
    <w:p w14:paraId="66B57720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20 Información en materia de empleo en el sector público.</w:t>
      </w:r>
    </w:p>
    <w:p w14:paraId="5AA7FD3C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21 Información en materia de retribuciones.</w:t>
      </w:r>
    </w:p>
    <w:p w14:paraId="79AAD53D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22 Información en materia normativa.</w:t>
      </w:r>
    </w:p>
    <w:p w14:paraId="29C37B53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23 Información sobre los servicios y procedimientos.</w:t>
      </w:r>
    </w:p>
    <w:p w14:paraId="4B5EE3DC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24 Información económico financiera.</w:t>
      </w:r>
    </w:p>
    <w:p w14:paraId="12585E6B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Art, 28 Información de los contratos.</w:t>
      </w:r>
    </w:p>
    <w:p w14:paraId="632AED22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29 Información de los convenios y encomiendas de gestión.</w:t>
      </w:r>
    </w:p>
    <w:p w14:paraId="00D82F63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30 Información sobre concesión de servicios públicos.</w:t>
      </w:r>
    </w:p>
    <w:p w14:paraId="009E8A03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>Art. 31 Información de las ayudas y subvenciones.</w:t>
      </w:r>
    </w:p>
    <w:p w14:paraId="5D214C89" w14:textId="77777777" w:rsidR="00971596" w:rsidRPr="000A6264" w:rsidRDefault="00971596" w:rsidP="00971596">
      <w:pPr>
        <w:rPr>
          <w:rFonts w:ascii="Century Gothic" w:eastAsia="MS Mincho" w:hAnsi="Century Gothic" w:cs="Times New Roman"/>
          <w:lang w:eastAsia="es-ES"/>
        </w:rPr>
      </w:pPr>
      <w:r w:rsidRPr="000A6264">
        <w:rPr>
          <w:rFonts w:ascii="Century Gothic" w:eastAsia="MS Mincho" w:hAnsi="Century Gothic" w:cs="Times New Roman"/>
          <w:lang w:eastAsia="es-ES"/>
        </w:rPr>
        <w:t xml:space="preserve">Art. 33 Información estadística. </w:t>
      </w:r>
    </w:p>
    <w:p w14:paraId="76DC0639" w14:textId="0BA28712" w:rsidR="00291191" w:rsidRDefault="000A6264" w:rsidP="000A6264">
      <w:pPr>
        <w:jc w:val="both"/>
        <w:rPr>
          <w:rFonts w:ascii="Century Gothic" w:hAnsi="Century Gothic" w:cs="Arial"/>
          <w:color w:val="505050"/>
          <w:shd w:val="clear" w:color="auto" w:fill="FFFFFF"/>
        </w:rPr>
      </w:pPr>
      <w:r w:rsidRPr="000A6264">
        <w:rPr>
          <w:rFonts w:ascii="Century Gothic" w:hAnsi="Century Gothic" w:cs="Arial"/>
          <w:color w:val="505050"/>
          <w:shd w:val="clear" w:color="auto" w:fill="FFFFFF"/>
        </w:rPr>
        <w:t>La interposición de las reclamaciones de los ciudadanos, en materia de transparencia se podrá hacer, directamente, ante el Comisionado de Transparencia.</w:t>
      </w:r>
    </w:p>
    <w:p w14:paraId="75247296" w14:textId="124CD56A" w:rsidR="006B5F0F" w:rsidRDefault="006B5F0F" w:rsidP="000A6264">
      <w:pPr>
        <w:jc w:val="both"/>
        <w:rPr>
          <w:rFonts w:ascii="Century Gothic" w:hAnsi="Century Gothic" w:cs="Arial"/>
          <w:color w:val="505050"/>
          <w:shd w:val="clear" w:color="auto" w:fill="FFFFFF"/>
        </w:rPr>
      </w:pPr>
    </w:p>
    <w:p w14:paraId="31B90DCA" w14:textId="0797AB79" w:rsidR="000A6264" w:rsidRDefault="00291191" w:rsidP="009A32C0">
      <w:pPr>
        <w:jc w:val="center"/>
      </w:pPr>
      <w:hyperlink r:id="rId8" w:history="1">
        <w:r w:rsidR="009A32C0" w:rsidRPr="00365877">
          <w:rPr>
            <w:rStyle w:val="Hipervnculo"/>
            <w:rFonts w:ascii="Century Gothic" w:hAnsi="Century Gothic" w:cs="Arial"/>
            <w:b/>
            <w:bCs/>
            <w:sz w:val="28"/>
            <w:szCs w:val="28"/>
            <w:shd w:val="clear" w:color="auto" w:fill="FFFFFF"/>
          </w:rPr>
          <w:t>Enlace</w:t>
        </w:r>
      </w:hyperlink>
    </w:p>
    <w:sectPr w:rsidR="000A62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17B6" w14:textId="77777777" w:rsidR="0012579E" w:rsidRDefault="0012579E" w:rsidP="00773890">
      <w:pPr>
        <w:spacing w:after="0" w:line="240" w:lineRule="auto"/>
      </w:pPr>
      <w:r>
        <w:separator/>
      </w:r>
    </w:p>
  </w:endnote>
  <w:endnote w:type="continuationSeparator" w:id="0">
    <w:p w14:paraId="6F22FEF1" w14:textId="77777777" w:rsidR="0012579E" w:rsidRDefault="0012579E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9969" w14:textId="77777777" w:rsidR="00773890" w:rsidRDefault="007738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3EE8" w14:textId="77777777" w:rsidR="00773890" w:rsidRDefault="0077389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AA1F" w14:textId="77777777" w:rsidR="00773890" w:rsidRDefault="007738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68AE" w14:textId="77777777" w:rsidR="0012579E" w:rsidRDefault="0012579E" w:rsidP="00773890">
      <w:pPr>
        <w:spacing w:after="0" w:line="240" w:lineRule="auto"/>
      </w:pPr>
      <w:r>
        <w:separator/>
      </w:r>
    </w:p>
  </w:footnote>
  <w:footnote w:type="continuationSeparator" w:id="0">
    <w:p w14:paraId="67F5517E" w14:textId="77777777" w:rsidR="0012579E" w:rsidRDefault="0012579E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3EBD" w14:textId="77777777" w:rsidR="00773890" w:rsidRDefault="007738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E285" w14:textId="77777777" w:rsidR="00773890" w:rsidRPr="00773890" w:rsidRDefault="00773890" w:rsidP="0077389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4"/>
        <w:szCs w:val="24"/>
        <w:lang w:val="es-ES_tradnl"/>
      </w:rPr>
    </w:pPr>
    <w:r w:rsidRPr="00773890">
      <w:rPr>
        <w:rFonts w:ascii="Calibri" w:eastAsia="Calibri" w:hAnsi="Calibri" w:cs="Times New Roman"/>
        <w:noProof/>
        <w:sz w:val="24"/>
        <w:szCs w:val="24"/>
        <w:lang w:val="es-ES_tradn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EE8B700" wp14:editId="30C134B2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4FB4B1" w14:textId="77777777" w:rsidR="00773890" w:rsidRDefault="00773890" w:rsidP="00773890">
                          <w:r w:rsidRPr="009544BF">
                            <w:rPr>
                              <w:noProof/>
                              <w:lang w:eastAsia="es-ES_tradnl"/>
                            </w:rPr>
                            <w:drawing>
                              <wp:inline distT="0" distB="0" distL="0" distR="0" wp14:anchorId="0854F38C" wp14:editId="3E100093">
                                <wp:extent cx="76200" cy="2438400"/>
                                <wp:effectExtent l="0" t="0" r="0" b="0"/>
                                <wp:docPr id="4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8B70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" filled="f" stroked="f">
              <v:textbox>
                <w:txbxContent>
                  <w:p w14:paraId="264FB4B1" w14:textId="77777777" w:rsidR="00773890" w:rsidRDefault="00773890" w:rsidP="00773890">
                    <w:r w:rsidRPr="009544BF">
                      <w:rPr>
                        <w:noProof/>
                        <w:lang w:eastAsia="es-ES_tradnl"/>
                      </w:rPr>
                      <w:drawing>
                        <wp:inline distT="0" distB="0" distL="0" distR="0" wp14:anchorId="0854F38C" wp14:editId="3E100093">
                          <wp:extent cx="76200" cy="2438400"/>
                          <wp:effectExtent l="0" t="0" r="0" b="0"/>
                          <wp:docPr id="4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773890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inline distT="0" distB="0" distL="0" distR="0" wp14:anchorId="7F0F6541" wp14:editId="0CAC7197">
          <wp:extent cx="2619375" cy="904875"/>
          <wp:effectExtent l="0" t="0" r="0" b="0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3890">
      <w:rPr>
        <w:rFonts w:ascii="Calibri" w:eastAsia="Calibri" w:hAnsi="Calibri" w:cs="Times New Roman"/>
        <w:sz w:val="24"/>
        <w:szCs w:val="24"/>
        <w:lang w:val="es-ES_tradnl"/>
      </w:rPr>
      <w:t xml:space="preserve">  </w:t>
    </w:r>
  </w:p>
  <w:p w14:paraId="0270E41D" w14:textId="77777777" w:rsidR="00773890" w:rsidRDefault="007738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9862" w14:textId="77777777" w:rsidR="00773890" w:rsidRDefault="007738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96"/>
    <w:rsid w:val="000A6264"/>
    <w:rsid w:val="0012579E"/>
    <w:rsid w:val="00291191"/>
    <w:rsid w:val="00333443"/>
    <w:rsid w:val="00365877"/>
    <w:rsid w:val="006B5F0F"/>
    <w:rsid w:val="00773890"/>
    <w:rsid w:val="00971596"/>
    <w:rsid w:val="009A32C0"/>
    <w:rsid w:val="00AD5485"/>
    <w:rsid w:val="00B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9866"/>
  <w15:chartTrackingRefBased/>
  <w15:docId w15:val="{136DBDA4-DBE3-4ACE-8191-B8895A88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9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658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8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73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890"/>
  </w:style>
  <w:style w:type="paragraph" w:styleId="Piedepgina">
    <w:name w:val="footer"/>
    <w:basedOn w:val="Normal"/>
    <w:link w:val="PiedepginaCar"/>
    <w:uiPriority w:val="99"/>
    <w:unhideWhenUsed/>
    <w:rsid w:val="00773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canarias.org/como-reclamar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boe.es/buscar/act.php?id=BOE-A-2015-1114&amp;tn=1&amp;p=2015010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oe.es/buscar/act.php?id=BOE-A-2015-111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</dc:creator>
  <cp:keywords/>
  <dc:description/>
  <cp:lastModifiedBy>Arantxa</cp:lastModifiedBy>
  <cp:revision>2</cp:revision>
  <dcterms:created xsi:type="dcterms:W3CDTF">2023-10-23T12:18:00Z</dcterms:created>
  <dcterms:modified xsi:type="dcterms:W3CDTF">2023-10-23T12:18:00Z</dcterms:modified>
</cp:coreProperties>
</file>