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DE7E" w14:textId="77777777" w:rsidR="00EC6368" w:rsidRPr="008D7FFD" w:rsidRDefault="00EC6368">
      <w:pPr>
        <w:autoSpaceDE w:val="0"/>
        <w:jc w:val="both"/>
        <w:rPr>
          <w:rFonts w:asciiTheme="minorHAnsi" w:hAnsiTheme="minorHAnsi" w:cstheme="minorHAnsi"/>
          <w:sz w:val="22"/>
          <w:szCs w:val="22"/>
        </w:rPr>
      </w:pPr>
    </w:p>
    <w:p w14:paraId="4E474849" w14:textId="77777777" w:rsidR="00EC6368" w:rsidRPr="008D7FFD" w:rsidRDefault="00EC6368">
      <w:pPr>
        <w:autoSpaceDE w:val="0"/>
        <w:jc w:val="both"/>
        <w:rPr>
          <w:rFonts w:asciiTheme="minorHAnsi" w:hAnsiTheme="minorHAnsi" w:cstheme="minorHAnsi"/>
          <w:sz w:val="22"/>
          <w:szCs w:val="22"/>
        </w:rPr>
      </w:pPr>
    </w:p>
    <w:p w14:paraId="1FAD016C" w14:textId="4661BFE3" w:rsidR="00EC6368" w:rsidRPr="008D7FFD" w:rsidRDefault="00130DBE">
      <w:pPr>
        <w:autoSpaceDE w:val="0"/>
        <w:jc w:val="both"/>
        <w:rPr>
          <w:rFonts w:asciiTheme="minorHAnsi" w:hAnsiTheme="minorHAnsi" w:cstheme="minorHAnsi"/>
          <w:b/>
          <w:bCs/>
          <w:sz w:val="22"/>
          <w:szCs w:val="22"/>
        </w:rPr>
      </w:pPr>
      <w:r w:rsidRPr="008D7FFD">
        <w:rPr>
          <w:rFonts w:asciiTheme="minorHAnsi" w:hAnsiTheme="minorHAnsi" w:cstheme="minorHAnsi"/>
          <w:b/>
          <w:bCs/>
          <w:sz w:val="22"/>
          <w:szCs w:val="22"/>
        </w:rPr>
        <w:t xml:space="preserve">INFORME </w:t>
      </w:r>
      <w:r w:rsidR="00A41B68">
        <w:rPr>
          <w:rFonts w:asciiTheme="minorHAnsi" w:hAnsiTheme="minorHAnsi" w:cstheme="minorHAnsi"/>
          <w:b/>
          <w:bCs/>
          <w:sz w:val="22"/>
          <w:szCs w:val="22"/>
        </w:rPr>
        <w:t>ANUAL DEL EJERCICIO</w:t>
      </w:r>
      <w:r w:rsidRPr="008D7FFD">
        <w:rPr>
          <w:rFonts w:asciiTheme="minorHAnsi" w:hAnsiTheme="minorHAnsi" w:cstheme="minorHAnsi"/>
          <w:b/>
          <w:bCs/>
          <w:sz w:val="22"/>
          <w:szCs w:val="22"/>
        </w:rPr>
        <w:t xml:space="preserve"> </w:t>
      </w:r>
      <w:r w:rsidR="006B4134">
        <w:rPr>
          <w:rFonts w:asciiTheme="minorHAnsi" w:hAnsiTheme="minorHAnsi" w:cstheme="minorHAnsi"/>
          <w:b/>
          <w:bCs/>
          <w:sz w:val="22"/>
          <w:szCs w:val="22"/>
        </w:rPr>
        <w:t>2025</w:t>
      </w:r>
      <w:r w:rsidRPr="008D7FFD">
        <w:rPr>
          <w:rFonts w:asciiTheme="minorHAnsi" w:hAnsiTheme="minorHAnsi" w:cstheme="minorHAnsi"/>
          <w:b/>
          <w:bCs/>
          <w:sz w:val="22"/>
          <w:szCs w:val="22"/>
        </w:rPr>
        <w:t xml:space="preserve"> EN MATERIAL DE TRANSPARENCIA DE “PROMOCION DE LA CIUDAD DE LAS PALMAS DE GRAN CANARIA S.A”</w:t>
      </w:r>
      <w:r w:rsidR="00A41B68">
        <w:rPr>
          <w:rFonts w:asciiTheme="minorHAnsi" w:hAnsiTheme="minorHAnsi" w:cstheme="minorHAnsi"/>
          <w:b/>
          <w:bCs/>
          <w:sz w:val="22"/>
          <w:szCs w:val="22"/>
        </w:rPr>
        <w:t xml:space="preserve"> (en adelante, la Sociedad y/o Promoción) </w:t>
      </w:r>
    </w:p>
    <w:p w14:paraId="0F1B8F2B" w14:textId="77777777" w:rsidR="00EE6654" w:rsidRPr="008D7FFD" w:rsidRDefault="00EE6654">
      <w:pPr>
        <w:autoSpaceDE w:val="0"/>
        <w:jc w:val="both"/>
        <w:rPr>
          <w:rFonts w:asciiTheme="minorHAnsi" w:hAnsiTheme="minorHAnsi" w:cstheme="minorHAnsi"/>
          <w:b/>
          <w:bCs/>
          <w:sz w:val="22"/>
          <w:szCs w:val="22"/>
        </w:rPr>
      </w:pPr>
    </w:p>
    <w:p w14:paraId="385A1E9A" w14:textId="17E7250F" w:rsidR="00EE6654" w:rsidRPr="008D7FFD" w:rsidRDefault="00EE6654">
      <w:pPr>
        <w:autoSpaceDE w:val="0"/>
        <w:jc w:val="both"/>
        <w:rPr>
          <w:rFonts w:asciiTheme="minorHAnsi" w:hAnsiTheme="minorHAnsi" w:cstheme="minorHAnsi"/>
          <w:b/>
          <w:bCs/>
          <w:sz w:val="22"/>
          <w:szCs w:val="22"/>
          <w:u w:val="single"/>
        </w:rPr>
      </w:pPr>
      <w:r w:rsidRPr="008D7FFD">
        <w:rPr>
          <w:rFonts w:asciiTheme="minorHAnsi" w:hAnsiTheme="minorHAnsi" w:cstheme="minorHAnsi"/>
          <w:sz w:val="22"/>
          <w:szCs w:val="22"/>
          <w:u w:val="single"/>
        </w:rPr>
        <w:t xml:space="preserve">Fecha de emisión del informe:  </w:t>
      </w:r>
      <w:r w:rsidR="006B4134">
        <w:rPr>
          <w:rFonts w:asciiTheme="minorHAnsi" w:hAnsiTheme="minorHAnsi" w:cstheme="minorHAnsi"/>
          <w:sz w:val="22"/>
          <w:szCs w:val="22"/>
          <w:u w:val="single"/>
        </w:rPr>
        <w:t>Abril 2026</w:t>
      </w:r>
      <w:r w:rsidR="00414C2F">
        <w:rPr>
          <w:rFonts w:asciiTheme="minorHAnsi" w:hAnsiTheme="minorHAnsi" w:cstheme="minorHAnsi"/>
          <w:sz w:val="22"/>
          <w:szCs w:val="22"/>
          <w:u w:val="single"/>
        </w:rPr>
        <w:t>.</w:t>
      </w:r>
      <w:r w:rsidRPr="008D7FFD">
        <w:rPr>
          <w:rFonts w:asciiTheme="minorHAnsi" w:hAnsiTheme="minorHAnsi" w:cstheme="minorHAnsi"/>
          <w:sz w:val="22"/>
          <w:szCs w:val="22"/>
          <w:u w:val="single"/>
        </w:rPr>
        <w:t xml:space="preserve"> Anualidad a la que se refiere la información contenida: </w:t>
      </w:r>
      <w:r w:rsidR="006B4134">
        <w:rPr>
          <w:rFonts w:asciiTheme="minorHAnsi" w:hAnsiTheme="minorHAnsi" w:cstheme="minorHAnsi"/>
          <w:sz w:val="22"/>
          <w:szCs w:val="22"/>
          <w:u w:val="single"/>
        </w:rPr>
        <w:t>2025</w:t>
      </w:r>
      <w:r w:rsidR="00E414A9">
        <w:rPr>
          <w:rFonts w:asciiTheme="minorHAnsi" w:hAnsiTheme="minorHAnsi" w:cstheme="minorHAnsi"/>
          <w:sz w:val="22"/>
          <w:szCs w:val="22"/>
          <w:u w:val="single"/>
        </w:rPr>
        <w:t>.</w:t>
      </w:r>
    </w:p>
    <w:p w14:paraId="4B1C4B19" w14:textId="77777777" w:rsidR="00EC6368" w:rsidRPr="008D7FFD" w:rsidRDefault="00EC6368">
      <w:pPr>
        <w:autoSpaceDE w:val="0"/>
        <w:jc w:val="both"/>
        <w:rPr>
          <w:rFonts w:asciiTheme="minorHAnsi" w:hAnsiTheme="minorHAnsi" w:cstheme="minorHAnsi"/>
          <w:sz w:val="22"/>
          <w:szCs w:val="22"/>
          <w:u w:val="single"/>
        </w:rPr>
      </w:pPr>
    </w:p>
    <w:p w14:paraId="1779E722" w14:textId="77777777" w:rsidR="00EC6368" w:rsidRPr="008D7FFD" w:rsidRDefault="00EC6368">
      <w:pPr>
        <w:autoSpaceDE w:val="0"/>
        <w:jc w:val="both"/>
        <w:rPr>
          <w:rFonts w:asciiTheme="minorHAnsi" w:hAnsiTheme="minorHAnsi" w:cstheme="minorHAnsi"/>
          <w:sz w:val="22"/>
          <w:szCs w:val="22"/>
        </w:rPr>
      </w:pPr>
    </w:p>
    <w:p w14:paraId="3AA4D027" w14:textId="0BCBD1B3" w:rsidR="00EC6368"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Desde la entrada en vigor de la Ley estatal 19/2013, de 09 de diciembre de transparencia, acceso a la información pública y buen gobierno (Ley 19/2013)   y de La Ley Canaria 12/2014, de 26 de diciembre, de transparencia y de acceso a la información pública, la cual es de aplicación a la entidad </w:t>
      </w:r>
      <w:r w:rsidR="00A41B68">
        <w:rPr>
          <w:rFonts w:asciiTheme="minorHAnsi" w:hAnsiTheme="minorHAnsi" w:cstheme="minorHAnsi"/>
          <w:sz w:val="22"/>
          <w:szCs w:val="22"/>
        </w:rPr>
        <w:t xml:space="preserve">mercantil pública, </w:t>
      </w:r>
      <w:r w:rsidRPr="008D7FFD">
        <w:rPr>
          <w:rFonts w:asciiTheme="minorHAnsi" w:hAnsiTheme="minorHAnsi" w:cstheme="minorHAnsi"/>
          <w:sz w:val="22"/>
          <w:szCs w:val="22"/>
        </w:rPr>
        <w:t>“PROMOCION DE LA CIUDAD DE LAS PALMAS DE GRAN CANARIA S.A”</w:t>
      </w:r>
      <w:r w:rsidR="00A41B68">
        <w:rPr>
          <w:rFonts w:asciiTheme="minorHAnsi" w:hAnsiTheme="minorHAnsi" w:cstheme="minorHAnsi"/>
          <w:sz w:val="22"/>
          <w:szCs w:val="22"/>
        </w:rPr>
        <w:t>, medio propio del Excmo. Ayuntamiento de Las Palmas de Gran Canaria</w:t>
      </w:r>
      <w:r w:rsidRPr="008D7FFD">
        <w:rPr>
          <w:rFonts w:asciiTheme="minorHAnsi" w:hAnsiTheme="minorHAnsi" w:cstheme="minorHAnsi"/>
          <w:sz w:val="22"/>
          <w:szCs w:val="22"/>
        </w:rPr>
        <w:t>, conforme a lo dispuesto en su art 2.1 d),  el contexto social y tecnológico de los últimos años no ha hecho sino demandar con más fuerza derechos  a comunicar o recibir libremente información veraz, participar en los asuntos públicos y el  acceso de los ciudadanos a los archivos y registros administrativos.</w:t>
      </w:r>
    </w:p>
    <w:p w14:paraId="7F9B7B29" w14:textId="77777777" w:rsidR="00A41B68" w:rsidRPr="008D7FFD" w:rsidRDefault="00A41B68">
      <w:pPr>
        <w:autoSpaceDE w:val="0"/>
        <w:jc w:val="both"/>
        <w:rPr>
          <w:rFonts w:asciiTheme="minorHAnsi" w:hAnsiTheme="minorHAnsi" w:cstheme="minorHAnsi"/>
          <w:sz w:val="22"/>
          <w:szCs w:val="22"/>
        </w:rPr>
      </w:pPr>
    </w:p>
    <w:p w14:paraId="21466C60" w14:textId="77777777" w:rsidR="00EC6368" w:rsidRPr="008D7FFD" w:rsidRDefault="00EC6368">
      <w:pPr>
        <w:autoSpaceDE w:val="0"/>
        <w:jc w:val="both"/>
        <w:rPr>
          <w:rFonts w:asciiTheme="minorHAnsi" w:hAnsiTheme="minorHAnsi" w:cstheme="minorHAnsi"/>
          <w:sz w:val="22"/>
          <w:szCs w:val="22"/>
        </w:rPr>
      </w:pPr>
    </w:p>
    <w:p w14:paraId="25B85247" w14:textId="646F1375"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lang w:eastAsia="es-ES"/>
        </w:rPr>
        <w:t>En enero de 2019, la</w:t>
      </w:r>
      <w:r w:rsidRPr="008D7FFD">
        <w:rPr>
          <w:rFonts w:asciiTheme="minorHAnsi" w:hAnsiTheme="minorHAnsi" w:cstheme="minorHAnsi"/>
          <w:color w:val="000000"/>
          <w:sz w:val="22"/>
          <w:szCs w:val="22"/>
          <w:lang w:eastAsia="es-ES"/>
        </w:rPr>
        <w:t xml:space="preserve"> Sociedad creó </w:t>
      </w:r>
      <w:r w:rsidR="00A41B68">
        <w:rPr>
          <w:rFonts w:asciiTheme="minorHAnsi" w:hAnsiTheme="minorHAnsi" w:cstheme="minorHAnsi"/>
          <w:color w:val="000000"/>
          <w:sz w:val="22"/>
          <w:szCs w:val="22"/>
          <w:lang w:eastAsia="es-ES"/>
        </w:rPr>
        <w:t>su</w:t>
      </w:r>
      <w:r w:rsidR="00A41B68" w:rsidRPr="008D7FFD">
        <w:rPr>
          <w:rFonts w:asciiTheme="minorHAnsi" w:hAnsiTheme="minorHAnsi" w:cstheme="minorHAnsi"/>
          <w:color w:val="000000"/>
          <w:sz w:val="22"/>
          <w:szCs w:val="22"/>
          <w:lang w:eastAsia="es-ES"/>
        </w:rPr>
        <w:t xml:space="preserve"> </w:t>
      </w:r>
      <w:r w:rsidRPr="008D7FFD">
        <w:rPr>
          <w:rFonts w:asciiTheme="minorHAnsi" w:hAnsiTheme="minorHAnsi" w:cstheme="minorHAnsi"/>
          <w:color w:val="000000"/>
          <w:sz w:val="22"/>
          <w:szCs w:val="22"/>
          <w:lang w:eastAsia="es-ES"/>
        </w:rPr>
        <w:t>portal de transparencia</w:t>
      </w:r>
      <w:r w:rsidR="00A41B68">
        <w:rPr>
          <w:rFonts w:asciiTheme="minorHAnsi" w:hAnsiTheme="minorHAnsi" w:cstheme="minorHAnsi"/>
          <w:color w:val="000000"/>
          <w:sz w:val="22"/>
          <w:szCs w:val="22"/>
          <w:lang w:eastAsia="es-ES"/>
        </w:rPr>
        <w:t xml:space="preserve"> a través de su página web general www.lpapromocion.com</w:t>
      </w:r>
    </w:p>
    <w:p w14:paraId="2B393880"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w:t>
      </w:r>
    </w:p>
    <w:p w14:paraId="4D393DA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presente informe se emite a los efectos de dar cumplimiento al artículo 12 de la citada Ley 12/2014, de 26 de diciembre, de transparencia y de acceso a la información pública, en virtud del cual “los órganos a los que estén adscritas las unidades responsables de la información del departamento o entidad deberán emitir anualmente un informe sobre el grado de aplicación de la ley en su respectivo ámbito, con el contenido que se establezca por el titular del departamento competente en materia de información pública.”</w:t>
      </w:r>
    </w:p>
    <w:p w14:paraId="27FED728" w14:textId="77777777" w:rsidR="00EC6368" w:rsidRPr="008D7FFD" w:rsidRDefault="00EC6368">
      <w:pPr>
        <w:autoSpaceDE w:val="0"/>
        <w:jc w:val="both"/>
        <w:rPr>
          <w:rFonts w:asciiTheme="minorHAnsi" w:hAnsiTheme="minorHAnsi" w:cstheme="minorHAnsi"/>
          <w:sz w:val="22"/>
          <w:szCs w:val="22"/>
        </w:rPr>
      </w:pPr>
    </w:p>
    <w:p w14:paraId="7690E8CD" w14:textId="144A661E"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Comisionado de Transparencia y Acceso a la Información Pública de Canarias, en el ejercicio de su función de control del cumplimiento de la obligación de publicar la información por parte de los organismos sujetos a la citada Ley 12/2014</w:t>
      </w:r>
      <w:r w:rsidR="00A41B68">
        <w:rPr>
          <w:rFonts w:asciiTheme="minorHAnsi" w:hAnsiTheme="minorHAnsi" w:cstheme="minorHAnsi"/>
          <w:sz w:val="22"/>
          <w:szCs w:val="22"/>
        </w:rPr>
        <w:t>, ha publicado</w:t>
      </w:r>
      <w:r w:rsidRPr="008D7FFD">
        <w:rPr>
          <w:rFonts w:asciiTheme="minorHAnsi" w:hAnsiTheme="minorHAnsi" w:cstheme="minorHAnsi"/>
          <w:sz w:val="22"/>
          <w:szCs w:val="22"/>
        </w:rPr>
        <w:t xml:space="preserve"> los informes anuales de transparencia relativo a los años 2018</w:t>
      </w:r>
      <w:r w:rsidR="004A7108">
        <w:rPr>
          <w:rFonts w:asciiTheme="minorHAnsi" w:hAnsiTheme="minorHAnsi" w:cstheme="minorHAnsi"/>
          <w:sz w:val="22"/>
          <w:szCs w:val="22"/>
        </w:rPr>
        <w:t>,</w:t>
      </w:r>
      <w:r w:rsidRPr="008D7FFD">
        <w:rPr>
          <w:rFonts w:asciiTheme="minorHAnsi" w:hAnsiTheme="minorHAnsi" w:cstheme="minorHAnsi"/>
          <w:sz w:val="22"/>
          <w:szCs w:val="22"/>
        </w:rPr>
        <w:t xml:space="preserve"> 2019</w:t>
      </w:r>
      <w:r w:rsidR="00FB7841">
        <w:rPr>
          <w:rFonts w:asciiTheme="minorHAnsi" w:hAnsiTheme="minorHAnsi" w:cstheme="minorHAnsi"/>
          <w:sz w:val="22"/>
          <w:szCs w:val="22"/>
        </w:rPr>
        <w:t xml:space="preserve">, </w:t>
      </w:r>
      <w:r w:rsidR="004A7108">
        <w:rPr>
          <w:rFonts w:asciiTheme="minorHAnsi" w:hAnsiTheme="minorHAnsi" w:cstheme="minorHAnsi"/>
          <w:sz w:val="22"/>
          <w:szCs w:val="22"/>
        </w:rPr>
        <w:t>2020</w:t>
      </w:r>
      <w:r w:rsidR="00FB7841">
        <w:rPr>
          <w:rFonts w:asciiTheme="minorHAnsi" w:hAnsiTheme="minorHAnsi" w:cstheme="minorHAnsi"/>
          <w:sz w:val="22"/>
          <w:szCs w:val="22"/>
        </w:rPr>
        <w:t xml:space="preserve"> y 2021</w:t>
      </w:r>
      <w:r w:rsidRPr="008D7FFD">
        <w:rPr>
          <w:rFonts w:asciiTheme="minorHAnsi" w:hAnsiTheme="minorHAnsi" w:cstheme="minorHAnsi"/>
          <w:sz w:val="22"/>
          <w:szCs w:val="22"/>
        </w:rPr>
        <w:t>.</w:t>
      </w:r>
      <w:r w:rsidR="00A41B68">
        <w:rPr>
          <w:rFonts w:asciiTheme="minorHAnsi" w:hAnsiTheme="minorHAnsi" w:cstheme="minorHAnsi"/>
          <w:sz w:val="22"/>
          <w:szCs w:val="22"/>
        </w:rPr>
        <w:t xml:space="preserve"> (añadir los ejercicios)</w:t>
      </w:r>
    </w:p>
    <w:p w14:paraId="3040076B" w14:textId="77777777" w:rsidR="00EC6368" w:rsidRPr="008D7FFD" w:rsidRDefault="00EC6368">
      <w:pPr>
        <w:autoSpaceDE w:val="0"/>
        <w:jc w:val="both"/>
        <w:rPr>
          <w:rFonts w:asciiTheme="minorHAnsi" w:hAnsiTheme="minorHAnsi" w:cstheme="minorHAnsi"/>
          <w:b/>
          <w:bCs/>
          <w:sz w:val="22"/>
          <w:szCs w:val="22"/>
        </w:rPr>
      </w:pPr>
    </w:p>
    <w:p w14:paraId="236972F5" w14:textId="053C54FC"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sz w:val="22"/>
          <w:szCs w:val="22"/>
        </w:rPr>
        <w:t xml:space="preserve"> se sometió a la evaluación del Comisionado de Transparencia en el ejercicio 2018, sacando una nota global de 0,30</w:t>
      </w:r>
      <w:r w:rsidR="00A41B68">
        <w:rPr>
          <w:rFonts w:asciiTheme="minorHAnsi" w:hAnsiTheme="minorHAnsi" w:cstheme="minorHAnsi"/>
          <w:sz w:val="22"/>
          <w:szCs w:val="22"/>
        </w:rPr>
        <w:t xml:space="preserve">, lo que hizo que en los siguientes ejercicios la Sociedad se hay esforzado en   el cumplimiento de la normativa aplicable, </w:t>
      </w:r>
      <w:r w:rsidRPr="008D7FFD">
        <w:rPr>
          <w:rFonts w:asciiTheme="minorHAnsi" w:hAnsiTheme="minorHAnsi" w:cstheme="minorHAnsi"/>
          <w:sz w:val="22"/>
          <w:szCs w:val="22"/>
        </w:rPr>
        <w:t>trabajando en la mejora de su portal</w:t>
      </w:r>
      <w:r w:rsidR="00A41B68">
        <w:rPr>
          <w:rFonts w:asciiTheme="minorHAnsi" w:hAnsiTheme="minorHAnsi" w:cstheme="minorHAnsi"/>
          <w:sz w:val="22"/>
          <w:szCs w:val="22"/>
        </w:rPr>
        <w:t>,</w:t>
      </w:r>
      <w:r w:rsidRPr="008D7FFD">
        <w:rPr>
          <w:rFonts w:asciiTheme="minorHAnsi" w:hAnsiTheme="minorHAnsi" w:cstheme="minorHAnsi"/>
          <w:sz w:val="22"/>
          <w:szCs w:val="22"/>
        </w:rPr>
        <w:t xml:space="preserve"> actualizando y ampliando contenidos para mejorar en el cumplimiento de las obligaciones en materia de transparencia.</w:t>
      </w:r>
    </w:p>
    <w:p w14:paraId="1F6BE7BD" w14:textId="77777777" w:rsidR="00EC6368" w:rsidRPr="008D7FFD" w:rsidRDefault="00EC6368">
      <w:pPr>
        <w:jc w:val="both"/>
        <w:rPr>
          <w:rFonts w:asciiTheme="minorHAnsi" w:hAnsiTheme="minorHAnsi" w:cstheme="minorHAnsi"/>
          <w:sz w:val="22"/>
          <w:szCs w:val="22"/>
        </w:rPr>
      </w:pPr>
    </w:p>
    <w:p w14:paraId="09A6031F" w14:textId="48CDD272"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 xml:space="preserve">Durante el ejercicio 2019, el Comisionado de Transparencia de Canarias concedió a </w:t>
      </w:r>
      <w:r w:rsidR="00A41B68">
        <w:rPr>
          <w:rFonts w:asciiTheme="minorHAnsi" w:hAnsiTheme="minorHAnsi" w:cstheme="minorHAnsi"/>
          <w:sz w:val="22"/>
          <w:szCs w:val="22"/>
        </w:rPr>
        <w:t>Promoción</w:t>
      </w:r>
      <w:r w:rsidRPr="008D7FFD">
        <w:rPr>
          <w:rFonts w:asciiTheme="minorHAnsi" w:hAnsiTheme="minorHAnsi" w:cstheme="minorHAnsi"/>
          <w:sz w:val="22"/>
          <w:szCs w:val="22"/>
        </w:rPr>
        <w:t xml:space="preserve"> una puntuación del índice de Transparencia de Canarias de </w:t>
      </w:r>
      <w:r w:rsidRPr="008D7FFD">
        <w:rPr>
          <w:rFonts w:asciiTheme="minorHAnsi" w:hAnsiTheme="minorHAnsi" w:cstheme="minorHAnsi"/>
          <w:b/>
          <w:bCs/>
          <w:sz w:val="22"/>
          <w:szCs w:val="22"/>
        </w:rPr>
        <w:t>9,25</w:t>
      </w:r>
      <w:r w:rsidRPr="008D7FFD">
        <w:rPr>
          <w:rFonts w:asciiTheme="minorHAnsi" w:hAnsiTheme="minorHAnsi" w:cstheme="minorHAnsi"/>
          <w:sz w:val="22"/>
          <w:szCs w:val="22"/>
        </w:rPr>
        <w:t xml:space="preserve"> sobre 10, logrando un destacable resultado en relación con el año</w:t>
      </w:r>
      <w:r w:rsidR="00A41B68">
        <w:rPr>
          <w:rFonts w:asciiTheme="minorHAnsi" w:hAnsiTheme="minorHAnsi" w:cstheme="minorHAnsi"/>
          <w:sz w:val="22"/>
          <w:szCs w:val="22"/>
        </w:rPr>
        <w:t xml:space="preserve"> anterior</w:t>
      </w:r>
      <w:r w:rsidR="004A7108">
        <w:rPr>
          <w:rFonts w:asciiTheme="minorHAnsi" w:hAnsiTheme="minorHAnsi" w:cstheme="minorHAnsi"/>
          <w:sz w:val="22"/>
          <w:szCs w:val="22"/>
        </w:rPr>
        <w:t>.</w:t>
      </w:r>
    </w:p>
    <w:p w14:paraId="76110219" w14:textId="058A7E3C" w:rsidR="000A2BFE" w:rsidRPr="008D7FFD" w:rsidRDefault="000A2BFE">
      <w:pPr>
        <w:jc w:val="both"/>
        <w:rPr>
          <w:rFonts w:asciiTheme="minorHAnsi" w:hAnsiTheme="minorHAnsi" w:cstheme="minorHAnsi"/>
          <w:sz w:val="22"/>
          <w:szCs w:val="22"/>
        </w:rPr>
      </w:pPr>
    </w:p>
    <w:p w14:paraId="4BC0B94C" w14:textId="1198B702" w:rsidR="000A2BFE" w:rsidRDefault="000A2BFE" w:rsidP="00B5208A">
      <w:pPr>
        <w:jc w:val="both"/>
        <w:rPr>
          <w:rFonts w:asciiTheme="minorHAnsi" w:hAnsiTheme="minorHAnsi" w:cstheme="minorHAnsi"/>
          <w:sz w:val="22"/>
          <w:szCs w:val="22"/>
        </w:rPr>
      </w:pPr>
      <w:r w:rsidRPr="008D7FFD">
        <w:rPr>
          <w:rFonts w:asciiTheme="minorHAnsi" w:hAnsiTheme="minorHAnsi" w:cstheme="minorHAnsi"/>
          <w:color w:val="000000"/>
          <w:sz w:val="22"/>
          <w:szCs w:val="22"/>
          <w:lang w:eastAsia="es-ES"/>
        </w:rPr>
        <w:t xml:space="preserve">En </w:t>
      </w:r>
      <w:r w:rsidRPr="008D7FFD">
        <w:rPr>
          <w:rFonts w:asciiTheme="minorHAnsi" w:hAnsiTheme="minorHAnsi" w:cstheme="minorHAnsi"/>
          <w:b/>
          <w:color w:val="000000"/>
          <w:sz w:val="22"/>
          <w:szCs w:val="22"/>
          <w:lang w:eastAsia="es-ES"/>
        </w:rPr>
        <w:t>marzo de 2021</w:t>
      </w:r>
      <w:r w:rsidRPr="008D7FFD">
        <w:rPr>
          <w:rFonts w:asciiTheme="minorHAnsi" w:hAnsiTheme="minorHAnsi" w:cstheme="minorHAnsi"/>
          <w:color w:val="000000"/>
          <w:sz w:val="22"/>
          <w:szCs w:val="22"/>
          <w:lang w:eastAsia="es-ES"/>
        </w:rPr>
        <w:t xml:space="preserve"> se somete, nuevamente, a evaluación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lang w:eastAsia="es-ES"/>
        </w:rPr>
        <w:t xml:space="preserve">, en relación a la </w:t>
      </w:r>
      <w:r w:rsidRPr="008D7FFD">
        <w:rPr>
          <w:rFonts w:asciiTheme="minorHAnsi" w:hAnsiTheme="minorHAnsi" w:cstheme="minorHAnsi"/>
          <w:color w:val="000000"/>
          <w:sz w:val="22"/>
          <w:szCs w:val="22"/>
          <w:lang w:eastAsia="es-ES"/>
        </w:rPr>
        <w:lastRenderedPageBreak/>
        <w:t xml:space="preserve">información ofrecida en el </w:t>
      </w:r>
      <w:r w:rsidRPr="008D7FFD">
        <w:rPr>
          <w:rFonts w:asciiTheme="minorHAnsi" w:hAnsiTheme="minorHAnsi" w:cstheme="minorHAnsi"/>
          <w:b/>
          <w:color w:val="000000"/>
          <w:sz w:val="22"/>
          <w:szCs w:val="22"/>
          <w:lang w:eastAsia="es-ES"/>
        </w:rPr>
        <w:t>año 2020</w:t>
      </w:r>
      <w:r w:rsidRPr="008D7FFD">
        <w:rPr>
          <w:rFonts w:asciiTheme="minorHAnsi" w:hAnsiTheme="minorHAnsi" w:cstheme="minorHAnsi"/>
          <w:color w:val="000000"/>
          <w:sz w:val="22"/>
          <w:szCs w:val="22"/>
          <w:lang w:eastAsia="es-ES"/>
        </w:rPr>
        <w:t xml:space="preserve">, obteniendo una nota global </w:t>
      </w:r>
      <w:r w:rsidRPr="008D7FFD">
        <w:rPr>
          <w:rFonts w:asciiTheme="minorHAnsi" w:hAnsiTheme="minorHAnsi" w:cstheme="minorHAnsi"/>
          <w:b/>
          <w:color w:val="000000"/>
          <w:sz w:val="22"/>
          <w:szCs w:val="22"/>
          <w:lang w:eastAsia="es-ES"/>
        </w:rPr>
        <w:t xml:space="preserve">ITCanarias </w:t>
      </w:r>
      <w:r w:rsidR="007500C7" w:rsidRPr="008D7FFD">
        <w:rPr>
          <w:rFonts w:asciiTheme="minorHAnsi" w:hAnsiTheme="minorHAnsi" w:cstheme="minorHAnsi"/>
          <w:b/>
          <w:color w:val="000000"/>
          <w:sz w:val="22"/>
          <w:szCs w:val="22"/>
          <w:lang w:eastAsia="es-ES"/>
        </w:rPr>
        <w:t xml:space="preserve">10,00, </w:t>
      </w:r>
      <w:r w:rsidR="004A7108">
        <w:rPr>
          <w:rFonts w:asciiTheme="minorHAnsi" w:hAnsiTheme="minorHAnsi" w:cstheme="minorHAnsi"/>
          <w:b/>
          <w:color w:val="000000"/>
          <w:sz w:val="22"/>
          <w:szCs w:val="22"/>
          <w:lang w:eastAsia="es-ES"/>
        </w:rPr>
        <w:t>llegando a alcanzar</w:t>
      </w:r>
      <w:r w:rsidR="00A41B68">
        <w:rPr>
          <w:rFonts w:asciiTheme="minorHAnsi" w:hAnsiTheme="minorHAnsi" w:cstheme="minorHAnsi"/>
          <w:b/>
          <w:color w:val="000000"/>
          <w:sz w:val="22"/>
          <w:szCs w:val="22"/>
          <w:lang w:eastAsia="es-ES"/>
        </w:rPr>
        <w:t xml:space="preserve"> nuevamente</w:t>
      </w:r>
      <w:r w:rsidR="004A7108">
        <w:rPr>
          <w:rFonts w:asciiTheme="minorHAnsi" w:hAnsiTheme="minorHAnsi" w:cstheme="minorHAnsi"/>
          <w:b/>
          <w:color w:val="000000"/>
          <w:sz w:val="22"/>
          <w:szCs w:val="22"/>
          <w:lang w:eastAsia="es-ES"/>
        </w:rPr>
        <w:t xml:space="preserve"> la puntuación máxima</w:t>
      </w:r>
      <w:r w:rsidR="00BE55B7" w:rsidRPr="008D7FFD">
        <w:rPr>
          <w:rFonts w:asciiTheme="minorHAnsi" w:hAnsiTheme="minorHAnsi" w:cstheme="minorHAnsi"/>
          <w:sz w:val="22"/>
          <w:szCs w:val="22"/>
        </w:rPr>
        <w:t xml:space="preserve">. </w:t>
      </w:r>
    </w:p>
    <w:p w14:paraId="2E9B709F" w14:textId="77777777" w:rsidR="00FB7841" w:rsidRDefault="00FB7841" w:rsidP="00B5208A">
      <w:pPr>
        <w:jc w:val="both"/>
        <w:rPr>
          <w:rFonts w:asciiTheme="minorHAnsi" w:hAnsiTheme="minorHAnsi" w:cstheme="minorHAnsi"/>
          <w:sz w:val="22"/>
          <w:szCs w:val="22"/>
        </w:rPr>
      </w:pPr>
    </w:p>
    <w:p w14:paraId="29A53C4D" w14:textId="774BBA7D" w:rsidR="00FB7841" w:rsidRPr="00FB7841" w:rsidRDefault="00FB7841" w:rsidP="00B5208A">
      <w:pPr>
        <w:jc w:val="both"/>
      </w:pPr>
      <w:r w:rsidRPr="00FB7841">
        <w:rPr>
          <w:sz w:val="22"/>
          <w:szCs w:val="22"/>
        </w:rPr>
        <w:t>Durante el año 2022, en marzo,</w:t>
      </w:r>
      <w:r w:rsidRPr="00FB7841">
        <w:t xml:space="preserve"> </w:t>
      </w:r>
      <w:r w:rsidRPr="00D57402">
        <w:t xml:space="preserve">se realiza la evaluación que el Portal de Transparencia hace de </w:t>
      </w:r>
      <w:r w:rsidRPr="00D57402">
        <w:rPr>
          <w:b/>
          <w:bCs/>
        </w:rPr>
        <w:t>PROMOCIÓN DE LA CIUDAD DE LAS PALMAS DE GRAN CANARIA, S.A.,</w:t>
      </w:r>
      <w:r w:rsidRPr="00D57402">
        <w:t xml:space="preserve"> en relación a la información ofrecida en el </w:t>
      </w:r>
      <w:r w:rsidRPr="00D57402">
        <w:rPr>
          <w:b/>
          <w:bCs/>
        </w:rPr>
        <w:t>año 2021</w:t>
      </w:r>
      <w:r w:rsidRPr="00D57402">
        <w:t xml:space="preserve">, obteniendo por segundo año consecutivo la nota máxima global </w:t>
      </w:r>
      <w:r w:rsidRPr="00D57402">
        <w:rPr>
          <w:b/>
          <w:bCs/>
        </w:rPr>
        <w:t>ITCanarias de 10,00</w:t>
      </w:r>
      <w:r w:rsidRPr="00D57402">
        <w:t>.</w:t>
      </w:r>
    </w:p>
    <w:p w14:paraId="0144DB3B" w14:textId="77777777" w:rsidR="00B5208A" w:rsidRPr="008D7FFD" w:rsidRDefault="00B5208A" w:rsidP="00B5208A">
      <w:pPr>
        <w:jc w:val="both"/>
        <w:rPr>
          <w:rFonts w:asciiTheme="minorHAnsi" w:hAnsiTheme="minorHAnsi" w:cstheme="minorHAnsi"/>
          <w:sz w:val="22"/>
          <w:szCs w:val="22"/>
        </w:rPr>
      </w:pPr>
    </w:p>
    <w:p w14:paraId="6B5D1B1E" w14:textId="45678E39" w:rsidR="008D7FFD" w:rsidRDefault="00644B81" w:rsidP="008D7FFD">
      <w:pPr>
        <w:suppressAutoHyphens w:val="0"/>
        <w:autoSpaceDE w:val="0"/>
        <w:adjustRightInd w:val="0"/>
        <w:jc w:val="both"/>
        <w:rPr>
          <w:rFonts w:asciiTheme="minorHAnsi" w:hAnsiTheme="minorHAnsi" w:cstheme="minorHAnsi"/>
          <w:bCs/>
          <w:color w:val="000000"/>
          <w:sz w:val="22"/>
          <w:szCs w:val="22"/>
          <w:lang w:eastAsia="es-ES"/>
        </w:rPr>
      </w:pPr>
      <w:r>
        <w:rPr>
          <w:rFonts w:asciiTheme="minorHAnsi" w:hAnsiTheme="minorHAnsi" w:cstheme="minorHAnsi"/>
          <w:sz w:val="22"/>
          <w:szCs w:val="22"/>
        </w:rPr>
        <w:t xml:space="preserve">En el año 2023, Promocion fue valorada nuevamente en cuanto al ejercicio anteriormente cerrado, esto es, el correspondiente </w:t>
      </w:r>
      <w:r w:rsidR="00BE55B7" w:rsidRPr="008D7FFD">
        <w:rPr>
          <w:rFonts w:asciiTheme="minorHAnsi" w:hAnsiTheme="minorHAnsi" w:cstheme="minorHAnsi"/>
          <w:sz w:val="22"/>
          <w:szCs w:val="22"/>
        </w:rPr>
        <w:t>ejercicio 202</w:t>
      </w:r>
      <w:r w:rsidR="00FB7841">
        <w:rPr>
          <w:rFonts w:asciiTheme="minorHAnsi" w:hAnsiTheme="minorHAnsi" w:cstheme="minorHAnsi"/>
          <w:sz w:val="22"/>
          <w:szCs w:val="22"/>
        </w:rPr>
        <w:t>2</w:t>
      </w:r>
      <w:r>
        <w:rPr>
          <w:rFonts w:asciiTheme="minorHAnsi" w:hAnsiTheme="minorHAnsi" w:cstheme="minorHAnsi"/>
          <w:sz w:val="22"/>
          <w:szCs w:val="22"/>
        </w:rPr>
        <w:t xml:space="preserve">, obteniendo la máxima puntuación al respecto, esto es, la máxima nota global IT Canarias de 10,00. De esta forma, Promoción recoge </w:t>
      </w:r>
      <w:r w:rsidR="00BE55B7" w:rsidRPr="008D7FFD">
        <w:rPr>
          <w:rFonts w:asciiTheme="minorHAnsi" w:hAnsiTheme="minorHAnsi" w:cstheme="minorHAnsi"/>
          <w:sz w:val="22"/>
          <w:szCs w:val="22"/>
        </w:rPr>
        <w:t xml:space="preserve">toda la información contenida en </w:t>
      </w:r>
      <w:r>
        <w:rPr>
          <w:rFonts w:asciiTheme="minorHAnsi" w:hAnsiTheme="minorHAnsi" w:cstheme="minorHAnsi"/>
          <w:sz w:val="22"/>
          <w:szCs w:val="22"/>
        </w:rPr>
        <w:t>su</w:t>
      </w:r>
      <w:r w:rsidR="00BE55B7" w:rsidRPr="008D7FFD">
        <w:rPr>
          <w:rFonts w:asciiTheme="minorHAnsi" w:hAnsiTheme="minorHAnsi" w:cstheme="minorHAnsi"/>
          <w:sz w:val="22"/>
          <w:szCs w:val="22"/>
        </w:rPr>
        <w:t xml:space="preserve"> portal</w:t>
      </w:r>
      <w:r>
        <w:rPr>
          <w:rFonts w:asciiTheme="minorHAnsi" w:hAnsiTheme="minorHAnsi" w:cstheme="minorHAnsi"/>
          <w:sz w:val="22"/>
          <w:szCs w:val="22"/>
        </w:rPr>
        <w:t xml:space="preserve"> de transparencia a través de su web general</w:t>
      </w:r>
      <w:r w:rsidR="00BE55B7" w:rsidRPr="008D7FFD">
        <w:rPr>
          <w:rFonts w:asciiTheme="minorHAnsi" w:hAnsiTheme="minorHAnsi" w:cstheme="minorHAnsi"/>
          <w:sz w:val="22"/>
          <w:szCs w:val="22"/>
        </w:rPr>
        <w:t xml:space="preserve">, quedando reflejada en cada apartado la fecha de revisión y/o actualización de la información que contiene, </w:t>
      </w:r>
      <w:r w:rsidR="004A7108" w:rsidRPr="008D7FFD">
        <w:rPr>
          <w:rFonts w:asciiTheme="minorHAnsi" w:hAnsiTheme="minorHAnsi" w:cstheme="minorHAnsi"/>
          <w:sz w:val="22"/>
          <w:szCs w:val="22"/>
        </w:rPr>
        <w:t xml:space="preserve">de forma que el PORTAL </w:t>
      </w:r>
      <w:r>
        <w:rPr>
          <w:rFonts w:asciiTheme="minorHAnsi" w:hAnsiTheme="minorHAnsi" w:cstheme="minorHAnsi"/>
          <w:sz w:val="22"/>
          <w:szCs w:val="22"/>
        </w:rPr>
        <w:t>se encuentra adecuado</w:t>
      </w:r>
      <w:r w:rsidR="004A7108" w:rsidRPr="008D7FFD">
        <w:rPr>
          <w:rFonts w:asciiTheme="minorHAnsi" w:hAnsiTheme="minorHAnsi" w:cstheme="minorHAnsi"/>
          <w:sz w:val="22"/>
          <w:szCs w:val="22"/>
        </w:rPr>
        <w:t xml:space="preserve"> a la Ley Canaria 12/2014, de 26 de diciembre, de Transparencia y de Acceso a la Información Pública, haciendo más reutilizable, si cabe, el Portal, con el máximo de documentos contenidos en formatos pdf, doc, odt y xls.</w:t>
      </w:r>
      <w:r w:rsidR="008D7FFD" w:rsidRPr="008D7FFD">
        <w:rPr>
          <w:rFonts w:asciiTheme="minorHAnsi" w:hAnsiTheme="minorHAnsi" w:cstheme="minorHAnsi"/>
          <w:bCs/>
          <w:color w:val="000000"/>
          <w:sz w:val="22"/>
          <w:szCs w:val="22"/>
          <w:lang w:eastAsia="es-ES"/>
        </w:rPr>
        <w:t>.</w:t>
      </w:r>
    </w:p>
    <w:p w14:paraId="5232F96A" w14:textId="77777777" w:rsidR="00644B81" w:rsidRDefault="00644B81" w:rsidP="008D7FFD">
      <w:pPr>
        <w:suppressAutoHyphens w:val="0"/>
        <w:autoSpaceDE w:val="0"/>
        <w:adjustRightInd w:val="0"/>
        <w:jc w:val="both"/>
        <w:rPr>
          <w:rFonts w:asciiTheme="minorHAnsi" w:hAnsiTheme="minorHAnsi" w:cstheme="minorHAnsi"/>
          <w:bCs/>
          <w:color w:val="000000"/>
          <w:sz w:val="22"/>
          <w:szCs w:val="22"/>
          <w:lang w:eastAsia="es-ES"/>
        </w:rPr>
      </w:pPr>
    </w:p>
    <w:p w14:paraId="74BD2DA4" w14:textId="54A1C359" w:rsidR="00644B81" w:rsidRDefault="00644B81" w:rsidP="008D7FFD">
      <w:pPr>
        <w:suppressAutoHyphens w:val="0"/>
        <w:autoSpaceDE w:val="0"/>
        <w:adjustRightInd w:val="0"/>
        <w:jc w:val="both"/>
        <w:rPr>
          <w:rFonts w:asciiTheme="minorHAnsi" w:hAnsiTheme="minorHAnsi" w:cstheme="minorHAnsi"/>
          <w:bCs/>
          <w:color w:val="000000"/>
          <w:sz w:val="22"/>
          <w:szCs w:val="22"/>
          <w:lang w:eastAsia="es-ES"/>
        </w:rPr>
      </w:pPr>
      <w:r>
        <w:rPr>
          <w:rFonts w:asciiTheme="minorHAnsi" w:hAnsiTheme="minorHAnsi" w:cstheme="minorHAnsi"/>
          <w:bCs/>
          <w:color w:val="000000"/>
          <w:sz w:val="22"/>
          <w:szCs w:val="22"/>
          <w:lang w:eastAsia="es-ES"/>
        </w:rPr>
        <w:t xml:space="preserve">Por su parte en el año 2024, la Sociedad nuevamente ha sido sometida a valoración en cuanto al contenido de su portal de transparencia y el cumplimiento del mismo a la normativa aplicable en </w:t>
      </w:r>
      <w:r w:rsidR="00094EB9">
        <w:rPr>
          <w:rFonts w:asciiTheme="minorHAnsi" w:hAnsiTheme="minorHAnsi" w:cstheme="minorHAnsi"/>
          <w:bCs/>
          <w:color w:val="000000"/>
          <w:sz w:val="22"/>
          <w:szCs w:val="22"/>
          <w:lang w:eastAsia="es-ES"/>
        </w:rPr>
        <w:t>esta materia</w:t>
      </w:r>
      <w:r>
        <w:rPr>
          <w:rFonts w:asciiTheme="minorHAnsi" w:hAnsiTheme="minorHAnsi" w:cstheme="minorHAnsi"/>
          <w:bCs/>
          <w:color w:val="000000"/>
          <w:sz w:val="22"/>
          <w:szCs w:val="22"/>
          <w:lang w:eastAsia="es-ES"/>
        </w:rPr>
        <w:t xml:space="preserve">, logrando nuevamente una puntuación con respecto a los ejercicios 2022 y 2023, los cuales fueron valorado de manera conjunta. </w:t>
      </w:r>
    </w:p>
    <w:p w14:paraId="3022FAA9" w14:textId="77777777" w:rsidR="00002BFE" w:rsidRDefault="00002BFE" w:rsidP="008D7FFD">
      <w:pPr>
        <w:suppressAutoHyphens w:val="0"/>
        <w:autoSpaceDE w:val="0"/>
        <w:adjustRightInd w:val="0"/>
        <w:jc w:val="both"/>
        <w:rPr>
          <w:rFonts w:asciiTheme="minorHAnsi" w:hAnsiTheme="minorHAnsi" w:cstheme="minorHAnsi"/>
          <w:bCs/>
          <w:color w:val="000000"/>
          <w:sz w:val="22"/>
          <w:szCs w:val="22"/>
          <w:lang w:eastAsia="es-ES"/>
        </w:rPr>
      </w:pPr>
    </w:p>
    <w:p w14:paraId="4434EECB" w14:textId="7AC0B88B" w:rsidR="00002BFE" w:rsidRPr="008D7FFD" w:rsidRDefault="00002BFE" w:rsidP="008D7FFD">
      <w:pPr>
        <w:suppressAutoHyphens w:val="0"/>
        <w:autoSpaceDE w:val="0"/>
        <w:adjustRightInd w:val="0"/>
        <w:jc w:val="both"/>
        <w:rPr>
          <w:rFonts w:asciiTheme="minorHAnsi" w:hAnsiTheme="minorHAnsi" w:cstheme="minorHAnsi"/>
          <w:bCs/>
          <w:color w:val="000000"/>
          <w:sz w:val="22"/>
          <w:szCs w:val="22"/>
          <w:lang w:eastAsia="es-ES"/>
        </w:rPr>
      </w:pPr>
      <w:r>
        <w:rPr>
          <w:rFonts w:asciiTheme="minorHAnsi" w:hAnsiTheme="minorHAnsi" w:cstheme="minorHAnsi"/>
          <w:bCs/>
          <w:color w:val="000000"/>
          <w:sz w:val="22"/>
          <w:szCs w:val="22"/>
          <w:lang w:eastAsia="es-ES"/>
        </w:rPr>
        <w:t xml:space="preserve">En el año 2025 la Sociedad, respecto al año 2024, fue valorada de nuevo, obteniendo la mayor </w:t>
      </w:r>
      <w:r w:rsidR="006B4134">
        <w:rPr>
          <w:rFonts w:asciiTheme="minorHAnsi" w:hAnsiTheme="minorHAnsi" w:cstheme="minorHAnsi"/>
          <w:bCs/>
          <w:color w:val="000000"/>
          <w:sz w:val="22"/>
          <w:szCs w:val="22"/>
          <w:lang w:eastAsia="es-ES"/>
        </w:rPr>
        <w:t>puntuación</w:t>
      </w:r>
      <w:r>
        <w:rPr>
          <w:rFonts w:asciiTheme="minorHAnsi" w:hAnsiTheme="minorHAnsi" w:cstheme="minorHAnsi"/>
          <w:bCs/>
          <w:color w:val="000000"/>
          <w:sz w:val="22"/>
          <w:szCs w:val="22"/>
          <w:lang w:eastAsia="es-ES"/>
        </w:rPr>
        <w:t xml:space="preserve">  como en los ejercicios anteriores</w:t>
      </w:r>
    </w:p>
    <w:p w14:paraId="40D27E59"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6645FE1D" w14:textId="32D4DA0B" w:rsidR="00EC6368" w:rsidRPr="008D7FFD" w:rsidRDefault="00644B81" w:rsidP="008D7FFD">
      <w:pPr>
        <w:suppressAutoHyphens w:val="0"/>
        <w:autoSpaceDE w:val="0"/>
        <w:adjustRightInd w:val="0"/>
        <w:jc w:val="both"/>
        <w:rPr>
          <w:rFonts w:asciiTheme="minorHAnsi" w:hAnsiTheme="minorHAnsi" w:cstheme="minorHAnsi"/>
          <w:sz w:val="22"/>
          <w:szCs w:val="22"/>
        </w:rPr>
      </w:pPr>
      <w:r>
        <w:rPr>
          <w:rFonts w:asciiTheme="minorHAnsi" w:hAnsiTheme="minorHAnsi" w:cstheme="minorHAnsi"/>
          <w:sz w:val="22"/>
          <w:szCs w:val="22"/>
        </w:rPr>
        <w:t xml:space="preserve">Dicho todo lo anterior, cabe </w:t>
      </w:r>
      <w:r w:rsidR="00094EB9">
        <w:rPr>
          <w:rFonts w:asciiTheme="minorHAnsi" w:hAnsiTheme="minorHAnsi" w:cstheme="minorHAnsi"/>
          <w:sz w:val="22"/>
          <w:szCs w:val="22"/>
        </w:rPr>
        <w:t>destacar que</w:t>
      </w:r>
      <w:r>
        <w:rPr>
          <w:rFonts w:asciiTheme="minorHAnsi" w:hAnsiTheme="minorHAnsi" w:cstheme="minorHAnsi"/>
          <w:sz w:val="22"/>
          <w:szCs w:val="22"/>
        </w:rPr>
        <w:t xml:space="preserve"> s</w:t>
      </w:r>
      <w:r w:rsidR="00130DBE" w:rsidRPr="008D7FFD">
        <w:rPr>
          <w:rFonts w:asciiTheme="minorHAnsi" w:hAnsiTheme="minorHAnsi" w:cstheme="minorHAnsi"/>
          <w:sz w:val="22"/>
          <w:szCs w:val="22"/>
        </w:rPr>
        <w:t>e ha llevado</w:t>
      </w:r>
      <w:r>
        <w:rPr>
          <w:rFonts w:asciiTheme="minorHAnsi" w:hAnsiTheme="minorHAnsi" w:cstheme="minorHAnsi"/>
          <w:sz w:val="22"/>
          <w:szCs w:val="22"/>
        </w:rPr>
        <w:t xml:space="preserve"> a cabo desde la constitución del portal de transparencia de la Sociedad, esto es, ejercicio 2019, hasta la </w:t>
      </w:r>
      <w:r w:rsidR="00094EB9">
        <w:rPr>
          <w:rFonts w:asciiTheme="minorHAnsi" w:hAnsiTheme="minorHAnsi" w:cstheme="minorHAnsi"/>
          <w:sz w:val="22"/>
          <w:szCs w:val="22"/>
        </w:rPr>
        <w:t xml:space="preserve">fecha, </w:t>
      </w:r>
      <w:r w:rsidR="00094EB9" w:rsidRPr="008D7FFD">
        <w:rPr>
          <w:rFonts w:asciiTheme="minorHAnsi" w:hAnsiTheme="minorHAnsi" w:cstheme="minorHAnsi"/>
          <w:sz w:val="22"/>
          <w:szCs w:val="22"/>
        </w:rPr>
        <w:t>una</w:t>
      </w:r>
      <w:r w:rsidR="00130DBE" w:rsidRPr="008D7FFD">
        <w:rPr>
          <w:rFonts w:asciiTheme="minorHAnsi" w:hAnsiTheme="minorHAnsi" w:cstheme="minorHAnsi"/>
          <w:sz w:val="22"/>
          <w:szCs w:val="22"/>
        </w:rPr>
        <w:t xml:space="preserve"> serie de actuaciones </w:t>
      </w:r>
      <w:r>
        <w:rPr>
          <w:rFonts w:asciiTheme="minorHAnsi" w:hAnsiTheme="minorHAnsi" w:cstheme="minorHAnsi"/>
          <w:sz w:val="22"/>
          <w:szCs w:val="22"/>
        </w:rPr>
        <w:t xml:space="preserve">de mejoras </w:t>
      </w:r>
      <w:r w:rsidR="00130DBE" w:rsidRPr="008D7FFD">
        <w:rPr>
          <w:rFonts w:asciiTheme="minorHAnsi" w:hAnsiTheme="minorHAnsi" w:cstheme="minorHAnsi"/>
          <w:sz w:val="22"/>
          <w:szCs w:val="22"/>
        </w:rPr>
        <w:t xml:space="preserve">con el propósito de hacerlo más dinámico, accesible y atractivo para el </w:t>
      </w:r>
      <w:r>
        <w:rPr>
          <w:rFonts w:asciiTheme="minorHAnsi" w:hAnsiTheme="minorHAnsi" w:cstheme="minorHAnsi"/>
          <w:sz w:val="22"/>
          <w:szCs w:val="22"/>
        </w:rPr>
        <w:t>usuario</w:t>
      </w:r>
      <w:r w:rsidR="00130DBE" w:rsidRPr="008D7FFD">
        <w:rPr>
          <w:rFonts w:asciiTheme="minorHAnsi" w:hAnsiTheme="minorHAnsi" w:cstheme="minorHAnsi"/>
          <w:sz w:val="22"/>
          <w:szCs w:val="22"/>
        </w:rPr>
        <w:t>. La información se presenta ahora de una manera más clara y directa con la posibilidad de aportar también dicha información en otros formatos que permitan su reutilización</w:t>
      </w:r>
      <w:r>
        <w:rPr>
          <w:rFonts w:asciiTheme="minorHAnsi" w:hAnsiTheme="minorHAnsi" w:cstheme="minorHAnsi"/>
          <w:sz w:val="22"/>
          <w:szCs w:val="22"/>
        </w:rPr>
        <w:t xml:space="preserve">, tal y como aconseja los informes emitidos por el propio Comisionado de Transparencia. </w:t>
      </w:r>
    </w:p>
    <w:p w14:paraId="263279F3"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7F9729E1" w14:textId="1AADF9B7"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Las solicitudes de acceso a la información pública durante el ejercicio 2020</w:t>
      </w:r>
      <w:r w:rsidR="00FB7841">
        <w:rPr>
          <w:rFonts w:asciiTheme="minorHAnsi" w:hAnsiTheme="minorHAnsi" w:cstheme="minorHAnsi"/>
          <w:sz w:val="22"/>
          <w:szCs w:val="22"/>
        </w:rPr>
        <w:t xml:space="preserve">, </w:t>
      </w:r>
      <w:r w:rsidR="00BE55B7" w:rsidRPr="008D7FFD">
        <w:rPr>
          <w:rFonts w:asciiTheme="minorHAnsi" w:hAnsiTheme="minorHAnsi" w:cstheme="minorHAnsi"/>
          <w:sz w:val="22"/>
          <w:szCs w:val="22"/>
        </w:rPr>
        <w:t>2021</w:t>
      </w:r>
      <w:r w:rsidR="00286ABD">
        <w:rPr>
          <w:rFonts w:asciiTheme="minorHAnsi" w:hAnsiTheme="minorHAnsi" w:cstheme="minorHAnsi"/>
          <w:sz w:val="22"/>
          <w:szCs w:val="22"/>
        </w:rPr>
        <w:t>,</w:t>
      </w:r>
      <w:r w:rsidR="00FB7841">
        <w:rPr>
          <w:rFonts w:asciiTheme="minorHAnsi" w:hAnsiTheme="minorHAnsi" w:cstheme="minorHAnsi"/>
          <w:sz w:val="22"/>
          <w:szCs w:val="22"/>
        </w:rPr>
        <w:t xml:space="preserve"> 2022</w:t>
      </w:r>
      <w:r w:rsidR="00286ABD">
        <w:rPr>
          <w:rFonts w:asciiTheme="minorHAnsi" w:hAnsiTheme="minorHAnsi" w:cstheme="minorHAnsi"/>
          <w:sz w:val="22"/>
          <w:szCs w:val="22"/>
        </w:rPr>
        <w:t>, 2023</w:t>
      </w:r>
      <w:r w:rsidR="006B4134">
        <w:rPr>
          <w:rFonts w:asciiTheme="minorHAnsi" w:hAnsiTheme="minorHAnsi" w:cstheme="minorHAnsi"/>
          <w:sz w:val="22"/>
          <w:szCs w:val="22"/>
        </w:rPr>
        <w:t>,</w:t>
      </w:r>
      <w:r w:rsidR="00286ABD">
        <w:rPr>
          <w:rFonts w:asciiTheme="minorHAnsi" w:hAnsiTheme="minorHAnsi" w:cstheme="minorHAnsi"/>
          <w:sz w:val="22"/>
          <w:szCs w:val="22"/>
        </w:rPr>
        <w:t>2024</w:t>
      </w:r>
      <w:r w:rsidR="006B4134">
        <w:rPr>
          <w:rFonts w:asciiTheme="minorHAnsi" w:hAnsiTheme="minorHAnsi" w:cstheme="minorHAnsi"/>
          <w:sz w:val="22"/>
          <w:szCs w:val="22"/>
        </w:rPr>
        <w:t xml:space="preserve"> y 2025</w:t>
      </w:r>
      <w:r w:rsidRPr="008D7FFD">
        <w:rPr>
          <w:rFonts w:asciiTheme="minorHAnsi" w:hAnsiTheme="minorHAnsi" w:cstheme="minorHAnsi"/>
          <w:sz w:val="22"/>
          <w:szCs w:val="22"/>
        </w:rPr>
        <w:t xml:space="preserve">, se </w:t>
      </w:r>
      <w:r w:rsidR="00286ABD">
        <w:rPr>
          <w:rFonts w:asciiTheme="minorHAnsi" w:hAnsiTheme="minorHAnsi" w:cstheme="minorHAnsi"/>
          <w:sz w:val="22"/>
          <w:szCs w:val="22"/>
        </w:rPr>
        <w:t>recogen</w:t>
      </w:r>
      <w:r w:rsidRPr="008D7FFD">
        <w:rPr>
          <w:rFonts w:asciiTheme="minorHAnsi" w:hAnsiTheme="minorHAnsi" w:cstheme="minorHAnsi"/>
          <w:sz w:val="22"/>
          <w:szCs w:val="22"/>
        </w:rPr>
        <w:t xml:space="preserve"> en una tabla estadística para darle la funcionalidad que necesita la misma de cara a facilitar los datos recogidos por la Sociedad y</w:t>
      </w:r>
      <w:r w:rsidR="00286ABD">
        <w:rPr>
          <w:rFonts w:asciiTheme="minorHAnsi" w:hAnsiTheme="minorHAnsi" w:cstheme="minorHAnsi"/>
          <w:sz w:val="22"/>
          <w:szCs w:val="22"/>
        </w:rPr>
        <w:t>, en su caso,</w:t>
      </w:r>
      <w:r w:rsidRPr="008D7FFD">
        <w:rPr>
          <w:rFonts w:asciiTheme="minorHAnsi" w:hAnsiTheme="minorHAnsi" w:cstheme="minorHAnsi"/>
          <w:sz w:val="22"/>
          <w:szCs w:val="22"/>
        </w:rPr>
        <w:t xml:space="preserve"> la capacidad de respuesta.</w:t>
      </w:r>
    </w:p>
    <w:p w14:paraId="652E9F90" w14:textId="77777777" w:rsidR="00EC6368" w:rsidRPr="008D7FFD" w:rsidRDefault="00EC6368">
      <w:pPr>
        <w:jc w:val="both"/>
        <w:rPr>
          <w:rFonts w:asciiTheme="minorHAnsi" w:hAnsiTheme="minorHAnsi" w:cstheme="minorHAnsi"/>
          <w:sz w:val="22"/>
          <w:szCs w:val="22"/>
        </w:rPr>
      </w:pPr>
    </w:p>
    <w:p w14:paraId="48AC36D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El informe queda estructurado al igual que en años anteriores, siguiendo el esquema marcado por la ley 12/2014, en dos partes:</w:t>
      </w:r>
    </w:p>
    <w:p w14:paraId="11C0ED04" w14:textId="77777777" w:rsidR="00EC6368" w:rsidRPr="008D7FFD" w:rsidRDefault="00EC6368">
      <w:pPr>
        <w:autoSpaceDE w:val="0"/>
        <w:jc w:val="both"/>
        <w:rPr>
          <w:rFonts w:asciiTheme="minorHAnsi" w:hAnsiTheme="minorHAnsi" w:cstheme="minorHAnsi"/>
          <w:color w:val="000000"/>
          <w:sz w:val="22"/>
          <w:szCs w:val="22"/>
        </w:rPr>
      </w:pPr>
    </w:p>
    <w:p w14:paraId="31515F30" w14:textId="2F837C49" w:rsidR="00EC6368" w:rsidRDefault="00286ABD">
      <w:pPr>
        <w:autoSpaceDE w:val="0"/>
        <w:jc w:val="both"/>
        <w:rPr>
          <w:rFonts w:asciiTheme="minorHAnsi" w:hAnsiTheme="minorHAnsi" w:cstheme="minorHAnsi"/>
          <w:b/>
          <w:bCs/>
          <w:color w:val="000000"/>
          <w:sz w:val="22"/>
          <w:szCs w:val="22"/>
          <w:u w:val="single"/>
        </w:rPr>
      </w:pPr>
      <w:r w:rsidRPr="0052114C">
        <w:rPr>
          <w:rFonts w:asciiTheme="minorHAnsi" w:hAnsiTheme="minorHAnsi" w:cstheme="minorHAnsi"/>
          <w:b/>
          <w:bCs/>
          <w:color w:val="000000"/>
          <w:sz w:val="22"/>
          <w:szCs w:val="22"/>
          <w:u w:val="single"/>
        </w:rPr>
        <w:t>1º.-PUBLICIDAD ACTIVA: REFERIDA A LA INFORMACIÓN QUE HA DE PUBLICARSE OBLIGATORIAMENTE EN VIRTUD DE LO DISPUESTO EN LOS ARTÍCULOS 13 Y SIGUIENTES DE LA LEY 12/2014, Y QUE HA DE INCLUIRSE EN EL PORTAL DE TRANSPARENCIA</w:t>
      </w:r>
      <w:r>
        <w:rPr>
          <w:rFonts w:asciiTheme="minorHAnsi" w:hAnsiTheme="minorHAnsi" w:cstheme="minorHAnsi"/>
          <w:b/>
          <w:bCs/>
          <w:color w:val="000000"/>
          <w:sz w:val="22"/>
          <w:szCs w:val="22"/>
          <w:u w:val="single"/>
        </w:rPr>
        <w:t>:</w:t>
      </w:r>
    </w:p>
    <w:p w14:paraId="6CC76422" w14:textId="77777777" w:rsidR="006B4134" w:rsidRDefault="006B4134">
      <w:pPr>
        <w:autoSpaceDE w:val="0"/>
        <w:jc w:val="both"/>
        <w:rPr>
          <w:rFonts w:asciiTheme="minorHAnsi" w:hAnsiTheme="minorHAnsi" w:cstheme="minorHAnsi"/>
          <w:b/>
          <w:bCs/>
          <w:color w:val="000000"/>
          <w:sz w:val="22"/>
          <w:szCs w:val="22"/>
          <w:u w:val="single"/>
        </w:rPr>
      </w:pPr>
    </w:p>
    <w:p w14:paraId="596FB7B7" w14:textId="77777777" w:rsidR="006B4134" w:rsidRPr="0052114C" w:rsidRDefault="006B4134">
      <w:pPr>
        <w:autoSpaceDE w:val="0"/>
        <w:jc w:val="both"/>
        <w:rPr>
          <w:rFonts w:asciiTheme="minorHAnsi" w:hAnsiTheme="minorHAnsi" w:cstheme="minorHAnsi"/>
          <w:b/>
          <w:bCs/>
          <w:color w:val="000000"/>
          <w:sz w:val="22"/>
          <w:szCs w:val="22"/>
          <w:u w:val="single"/>
        </w:rPr>
      </w:pPr>
    </w:p>
    <w:p w14:paraId="19BD78C6" w14:textId="77777777" w:rsidR="00EC6368" w:rsidRPr="0052114C" w:rsidRDefault="00EC6368">
      <w:pPr>
        <w:autoSpaceDE w:val="0"/>
        <w:jc w:val="both"/>
        <w:rPr>
          <w:rFonts w:asciiTheme="minorHAnsi" w:hAnsiTheme="minorHAnsi" w:cstheme="minorHAnsi"/>
          <w:b/>
          <w:bCs/>
          <w:color w:val="000000"/>
          <w:sz w:val="22"/>
          <w:szCs w:val="22"/>
          <w:u w:val="single"/>
        </w:rPr>
      </w:pPr>
    </w:p>
    <w:p w14:paraId="14CF109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ha de publicar información relativa a los siguientes aspectos:</w:t>
      </w:r>
    </w:p>
    <w:p w14:paraId="66BBF6FF" w14:textId="77777777" w:rsidR="00EC6368" w:rsidRPr="008D7FFD" w:rsidRDefault="00EC6368">
      <w:pPr>
        <w:autoSpaceDE w:val="0"/>
        <w:jc w:val="both"/>
        <w:rPr>
          <w:rFonts w:asciiTheme="minorHAnsi" w:hAnsiTheme="minorHAnsi" w:cstheme="minorHAnsi"/>
          <w:color w:val="000000"/>
          <w:sz w:val="22"/>
          <w:szCs w:val="22"/>
        </w:rPr>
      </w:pPr>
    </w:p>
    <w:p w14:paraId="53FF90CB"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 Institucional:</w:t>
      </w:r>
    </w:p>
    <w:p w14:paraId="4DCF72FB" w14:textId="77777777" w:rsidR="00286ABD" w:rsidRPr="008D7FFD" w:rsidRDefault="00286ABD">
      <w:pPr>
        <w:autoSpaceDE w:val="0"/>
        <w:jc w:val="both"/>
        <w:rPr>
          <w:rFonts w:asciiTheme="minorHAnsi" w:hAnsiTheme="minorHAnsi" w:cstheme="minorHAnsi"/>
          <w:b/>
          <w:bCs/>
          <w:color w:val="000000"/>
          <w:sz w:val="22"/>
          <w:szCs w:val="22"/>
        </w:rPr>
      </w:pPr>
    </w:p>
    <w:p w14:paraId="0E6294C4" w14:textId="6243BD7B"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Información general relativa a las funciones que desarrolla la </w:t>
      </w:r>
      <w:r w:rsidR="00286ABD">
        <w:rPr>
          <w:rFonts w:asciiTheme="minorHAnsi" w:hAnsiTheme="minorHAnsi" w:cstheme="minorHAnsi"/>
          <w:color w:val="000000"/>
          <w:sz w:val="22"/>
          <w:szCs w:val="22"/>
        </w:rPr>
        <w:t>Sociedad</w:t>
      </w:r>
      <w:r w:rsidRPr="008D7FFD">
        <w:rPr>
          <w:rFonts w:asciiTheme="minorHAnsi" w:hAnsiTheme="minorHAnsi" w:cstheme="minorHAnsi"/>
          <w:color w:val="000000"/>
          <w:sz w:val="22"/>
          <w:szCs w:val="22"/>
        </w:rPr>
        <w:t>.</w:t>
      </w:r>
    </w:p>
    <w:p w14:paraId="76F1CE95" w14:textId="2DE7C272" w:rsidR="00EC6368" w:rsidRPr="008D7FFD" w:rsidRDefault="00130DBE" w:rsidP="006B4134">
      <w:pPr>
        <w:suppressAutoHyphens w:val="0"/>
        <w:autoSpaceDE w:val="0"/>
        <w:adjustRightInd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institucional y normativa aplicable</w:t>
      </w:r>
      <w:r w:rsidR="008D7FFD" w:rsidRPr="008D7FFD">
        <w:rPr>
          <w:rFonts w:asciiTheme="minorHAnsi" w:hAnsiTheme="minorHAnsi" w:cstheme="minorHAnsi"/>
          <w:color w:val="000000"/>
          <w:sz w:val="22"/>
          <w:szCs w:val="22"/>
        </w:rPr>
        <w:t xml:space="preserve"> </w:t>
      </w:r>
      <w:r w:rsidR="008D7FFD" w:rsidRPr="008D7FFD">
        <w:rPr>
          <w:rFonts w:asciiTheme="minorHAnsi" w:hAnsiTheme="minorHAnsi" w:cstheme="minorHAnsi"/>
          <w:color w:val="000000"/>
          <w:sz w:val="22"/>
          <w:szCs w:val="22"/>
          <w:lang w:eastAsia="es-ES"/>
        </w:rPr>
        <w:t>y las modificaciones estatutarias</w:t>
      </w:r>
      <w:r w:rsidR="00286ABD">
        <w:rPr>
          <w:rFonts w:asciiTheme="minorHAnsi" w:hAnsiTheme="minorHAnsi" w:cstheme="minorHAnsi"/>
          <w:color w:val="000000"/>
          <w:sz w:val="22"/>
          <w:szCs w:val="22"/>
          <w:lang w:eastAsia="es-ES"/>
        </w:rPr>
        <w:t>.</w:t>
      </w:r>
    </w:p>
    <w:p w14:paraId="358F30DA" w14:textId="77777777" w:rsidR="00EC6368" w:rsidRPr="008D7FFD" w:rsidRDefault="00EC6368">
      <w:pPr>
        <w:autoSpaceDE w:val="0"/>
        <w:jc w:val="both"/>
        <w:rPr>
          <w:rFonts w:asciiTheme="minorHAnsi" w:hAnsiTheme="minorHAnsi" w:cstheme="minorHAnsi"/>
          <w:color w:val="000000"/>
          <w:sz w:val="22"/>
          <w:szCs w:val="22"/>
        </w:rPr>
      </w:pPr>
    </w:p>
    <w:p w14:paraId="5151E573" w14:textId="517E3350"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00286ABD">
        <w:rPr>
          <w:rFonts w:asciiTheme="minorHAnsi" w:hAnsiTheme="minorHAnsi" w:cstheme="minorHAnsi"/>
          <w:color w:val="000000"/>
          <w:sz w:val="22"/>
          <w:szCs w:val="22"/>
        </w:rPr>
        <w:t xml:space="preserve"> la Sociedad</w:t>
      </w:r>
      <w:r w:rsidRPr="008D7FFD">
        <w:rPr>
          <w:rFonts w:asciiTheme="minorHAnsi" w:hAnsiTheme="minorHAnsi" w:cstheme="minorHAnsi"/>
          <w:color w:val="000000"/>
          <w:sz w:val="22"/>
          <w:szCs w:val="22"/>
        </w:rPr>
        <w:t xml:space="preserve"> con la posibilidad de acceder en el apartado información institucional.</w:t>
      </w:r>
    </w:p>
    <w:p w14:paraId="4DDC46D7" w14:textId="77777777" w:rsidR="00EC6368" w:rsidRPr="008D7FFD" w:rsidRDefault="00EC6368">
      <w:pPr>
        <w:autoSpaceDE w:val="0"/>
        <w:jc w:val="both"/>
        <w:rPr>
          <w:rFonts w:asciiTheme="minorHAnsi" w:hAnsiTheme="minorHAnsi" w:cstheme="minorHAnsi"/>
          <w:color w:val="0563C2"/>
          <w:sz w:val="22"/>
          <w:szCs w:val="22"/>
        </w:rPr>
      </w:pPr>
    </w:p>
    <w:p w14:paraId="16968CAF"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2.- Organizativa:</w:t>
      </w:r>
    </w:p>
    <w:p w14:paraId="10425A2D" w14:textId="77777777" w:rsidR="00286ABD" w:rsidRPr="008D7FFD" w:rsidRDefault="00286ABD">
      <w:pPr>
        <w:autoSpaceDE w:val="0"/>
        <w:jc w:val="both"/>
        <w:rPr>
          <w:rFonts w:asciiTheme="minorHAnsi" w:hAnsiTheme="minorHAnsi" w:cstheme="minorHAnsi"/>
          <w:b/>
          <w:bCs/>
          <w:color w:val="000000"/>
          <w:sz w:val="22"/>
          <w:szCs w:val="22"/>
        </w:rPr>
      </w:pPr>
    </w:p>
    <w:p w14:paraId="289FE29A"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 Organigrama de </w:t>
      </w:r>
      <w:r w:rsidRPr="008D7FFD">
        <w:rPr>
          <w:rFonts w:asciiTheme="minorHAnsi" w:hAnsiTheme="minorHAnsi" w:cstheme="minorHAnsi"/>
          <w:b/>
          <w:bCs/>
          <w:sz w:val="22"/>
          <w:szCs w:val="22"/>
        </w:rPr>
        <w:t>PROMOCION DE LA CIUDAD DE LAS PALMAS DE GRAN CANARIA S.A.,</w:t>
      </w:r>
    </w:p>
    <w:p w14:paraId="18C4FD4C" w14:textId="718363D1"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con sus órganos superiores y estructura por departamentos.</w:t>
      </w:r>
    </w:p>
    <w:p w14:paraId="58360DCC" w14:textId="6D0F2900"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•Nombramiento de las personas que componen el Consejo de administración</w:t>
      </w:r>
      <w:r w:rsidR="00286ABD">
        <w:rPr>
          <w:rFonts w:asciiTheme="minorHAnsi" w:hAnsiTheme="minorHAnsi" w:cstheme="minorHAnsi"/>
          <w:color w:val="000000"/>
          <w:sz w:val="22"/>
          <w:szCs w:val="22"/>
        </w:rPr>
        <w:t xml:space="preserve"> de la Sociedad con sus cargos correspondientes dentro de dicho órgano de administración, así como información requerida en cuanto al puesto de Gerencia de la Sociedad</w:t>
      </w:r>
    </w:p>
    <w:p w14:paraId="2CBC2600" w14:textId="77777777" w:rsidR="00EC6368" w:rsidRPr="008D7FFD" w:rsidRDefault="00EC6368">
      <w:pPr>
        <w:autoSpaceDE w:val="0"/>
        <w:jc w:val="both"/>
        <w:rPr>
          <w:rFonts w:asciiTheme="minorHAnsi" w:hAnsiTheme="minorHAnsi" w:cstheme="minorHAnsi"/>
          <w:color w:val="000000"/>
          <w:sz w:val="22"/>
          <w:szCs w:val="22"/>
        </w:rPr>
      </w:pPr>
    </w:p>
    <w:p w14:paraId="490A8E23" w14:textId="0FCAC1F5"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la posibilidad de acceder en el apartado estructura organizativa.</w:t>
      </w:r>
    </w:p>
    <w:p w14:paraId="34FBC123" w14:textId="77777777" w:rsidR="00EC6368" w:rsidRPr="008D7FFD" w:rsidRDefault="00EC6368">
      <w:pPr>
        <w:autoSpaceDE w:val="0"/>
        <w:jc w:val="both"/>
        <w:rPr>
          <w:rFonts w:asciiTheme="minorHAnsi" w:hAnsiTheme="minorHAnsi" w:cstheme="minorHAnsi"/>
          <w:color w:val="000000"/>
          <w:sz w:val="22"/>
          <w:szCs w:val="22"/>
        </w:rPr>
      </w:pPr>
    </w:p>
    <w:p w14:paraId="392D2F30"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3.- Personal de libre nombramiento:</w:t>
      </w:r>
    </w:p>
    <w:p w14:paraId="08071622" w14:textId="77777777" w:rsidR="00286ABD" w:rsidRPr="008D7FFD" w:rsidRDefault="00286ABD">
      <w:pPr>
        <w:autoSpaceDE w:val="0"/>
        <w:jc w:val="both"/>
        <w:rPr>
          <w:rFonts w:asciiTheme="minorHAnsi" w:hAnsiTheme="minorHAnsi" w:cstheme="minorHAnsi"/>
          <w:b/>
          <w:bCs/>
          <w:color w:val="000000"/>
          <w:sz w:val="22"/>
          <w:szCs w:val="22"/>
        </w:rPr>
      </w:pPr>
    </w:p>
    <w:p w14:paraId="1578054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Personas titulares de los órganos superiores y directivos, especificando la composición de los mismos.</w:t>
      </w:r>
    </w:p>
    <w:p w14:paraId="386E46A9" w14:textId="77777777" w:rsidR="00EC6368" w:rsidRPr="008D7FFD" w:rsidRDefault="00EC6368">
      <w:pPr>
        <w:autoSpaceDE w:val="0"/>
        <w:jc w:val="both"/>
        <w:rPr>
          <w:rFonts w:asciiTheme="minorHAnsi" w:hAnsiTheme="minorHAnsi" w:cstheme="minorHAnsi"/>
          <w:color w:val="000000"/>
          <w:sz w:val="22"/>
          <w:szCs w:val="22"/>
        </w:rPr>
      </w:pPr>
    </w:p>
    <w:p w14:paraId="7999962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posibilidad de acceder en el apartado estructura organizativa.</w:t>
      </w:r>
    </w:p>
    <w:p w14:paraId="1421A744" w14:textId="77777777" w:rsidR="00EC6368" w:rsidRPr="008D7FFD" w:rsidRDefault="00EC6368">
      <w:pPr>
        <w:autoSpaceDE w:val="0"/>
        <w:jc w:val="both"/>
        <w:rPr>
          <w:rFonts w:asciiTheme="minorHAnsi" w:hAnsiTheme="minorHAnsi" w:cstheme="minorHAnsi"/>
          <w:color w:val="000000"/>
          <w:sz w:val="22"/>
          <w:szCs w:val="22"/>
        </w:rPr>
      </w:pPr>
    </w:p>
    <w:p w14:paraId="6A1A9A91" w14:textId="41CC7DBF"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En cuanto a la información relativa al personal de </w:t>
      </w:r>
      <w:r w:rsidRPr="008D7FFD">
        <w:rPr>
          <w:rFonts w:asciiTheme="minorHAnsi" w:hAnsiTheme="minorHAnsi" w:cstheme="minorHAnsi"/>
          <w:b/>
          <w:bCs/>
          <w:sz w:val="22"/>
          <w:szCs w:val="22"/>
        </w:rPr>
        <w:t xml:space="preserve">libre nombramiento </w:t>
      </w:r>
      <w:r w:rsidRPr="008D7FFD">
        <w:rPr>
          <w:rFonts w:asciiTheme="minorHAnsi" w:hAnsiTheme="minorHAnsi" w:cstheme="minorHAnsi"/>
          <w:sz w:val="22"/>
          <w:szCs w:val="22"/>
        </w:rPr>
        <w:t xml:space="preserve">se señala que en el caso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sz w:val="22"/>
          <w:szCs w:val="22"/>
        </w:rPr>
        <w:t>l</w:t>
      </w:r>
      <w:r w:rsidR="00286ABD">
        <w:rPr>
          <w:rFonts w:asciiTheme="minorHAnsi" w:hAnsiTheme="minorHAnsi" w:cstheme="minorHAnsi"/>
          <w:sz w:val="22"/>
          <w:szCs w:val="22"/>
        </w:rPr>
        <w:t>a</w:t>
      </w:r>
      <w:r w:rsidRPr="008D7FFD">
        <w:rPr>
          <w:rFonts w:asciiTheme="minorHAnsi" w:hAnsiTheme="minorHAnsi" w:cstheme="minorHAnsi"/>
          <w:sz w:val="22"/>
          <w:szCs w:val="22"/>
        </w:rPr>
        <w:t xml:space="preserve"> Gerente es el único cargo</w:t>
      </w:r>
      <w:r w:rsidR="00286ABD">
        <w:rPr>
          <w:rFonts w:asciiTheme="minorHAnsi" w:hAnsiTheme="minorHAnsi" w:cstheme="minorHAnsi"/>
          <w:sz w:val="22"/>
          <w:szCs w:val="22"/>
        </w:rPr>
        <w:t xml:space="preserve"> vigente en este momento. </w:t>
      </w:r>
    </w:p>
    <w:p w14:paraId="19A895BA" w14:textId="77777777" w:rsidR="00EC6368" w:rsidRPr="008D7FFD" w:rsidRDefault="00EC6368">
      <w:pPr>
        <w:autoSpaceDE w:val="0"/>
        <w:jc w:val="both"/>
        <w:rPr>
          <w:rFonts w:asciiTheme="minorHAnsi" w:hAnsiTheme="minorHAnsi" w:cstheme="minorHAnsi"/>
          <w:color w:val="0563C2"/>
          <w:sz w:val="22"/>
          <w:szCs w:val="22"/>
        </w:rPr>
      </w:pPr>
    </w:p>
    <w:p w14:paraId="7384CD5E"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4.- Empleo en el sector público:</w:t>
      </w:r>
    </w:p>
    <w:p w14:paraId="6062FD74" w14:textId="77777777" w:rsidR="00286ABD" w:rsidRPr="008D7FFD" w:rsidRDefault="00286ABD">
      <w:pPr>
        <w:autoSpaceDE w:val="0"/>
        <w:jc w:val="both"/>
        <w:rPr>
          <w:rFonts w:asciiTheme="minorHAnsi" w:hAnsiTheme="minorHAnsi" w:cstheme="minorHAnsi"/>
          <w:b/>
          <w:bCs/>
          <w:color w:val="000000"/>
          <w:sz w:val="22"/>
          <w:szCs w:val="22"/>
        </w:rPr>
      </w:pPr>
    </w:p>
    <w:p w14:paraId="2BDE9557" w14:textId="2F1B5686"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Número de empleados por departamentos</w:t>
      </w:r>
      <w:r w:rsidR="00286ABD">
        <w:rPr>
          <w:rFonts w:asciiTheme="minorHAnsi" w:hAnsiTheme="minorHAnsi" w:cstheme="minorHAnsi"/>
          <w:color w:val="000000"/>
          <w:sz w:val="22"/>
          <w:szCs w:val="22"/>
        </w:rPr>
        <w:t xml:space="preserve"> de la Sociedad.</w:t>
      </w:r>
    </w:p>
    <w:p w14:paraId="3BF87B37" w14:textId="77777777" w:rsidR="00EC6368" w:rsidRPr="008D7FFD" w:rsidRDefault="00EC6368">
      <w:pPr>
        <w:autoSpaceDE w:val="0"/>
        <w:jc w:val="both"/>
        <w:rPr>
          <w:rFonts w:asciiTheme="minorHAnsi" w:hAnsiTheme="minorHAnsi" w:cstheme="minorHAnsi"/>
          <w:color w:val="000000"/>
          <w:sz w:val="22"/>
          <w:szCs w:val="22"/>
        </w:rPr>
      </w:pPr>
    </w:p>
    <w:p w14:paraId="469BCA7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estructura plantilla del personal.</w:t>
      </w:r>
    </w:p>
    <w:p w14:paraId="61B4119F" w14:textId="77777777" w:rsidR="00EC6368" w:rsidRPr="008D7FFD" w:rsidRDefault="00EC6368">
      <w:pPr>
        <w:autoSpaceDE w:val="0"/>
        <w:jc w:val="both"/>
        <w:rPr>
          <w:rFonts w:asciiTheme="minorHAnsi" w:hAnsiTheme="minorHAnsi" w:cstheme="minorHAnsi"/>
          <w:color w:val="0563C2"/>
          <w:sz w:val="22"/>
          <w:szCs w:val="22"/>
        </w:rPr>
      </w:pPr>
    </w:p>
    <w:p w14:paraId="5414F666"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5.-Retribuciones:</w:t>
      </w:r>
    </w:p>
    <w:p w14:paraId="5DE76DDE" w14:textId="77777777" w:rsidR="00286ABD" w:rsidRPr="008D7FFD" w:rsidRDefault="00286ABD">
      <w:pPr>
        <w:autoSpaceDE w:val="0"/>
        <w:jc w:val="both"/>
        <w:rPr>
          <w:rFonts w:asciiTheme="minorHAnsi" w:hAnsiTheme="minorHAnsi" w:cstheme="minorHAnsi"/>
          <w:b/>
          <w:bCs/>
          <w:color w:val="000000"/>
          <w:sz w:val="22"/>
          <w:szCs w:val="22"/>
        </w:rPr>
      </w:pPr>
    </w:p>
    <w:p w14:paraId="433D87A3" w14:textId="1A0852F1"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Información general de las retribuciones </w:t>
      </w:r>
      <w:r w:rsidR="00FB7841">
        <w:rPr>
          <w:rFonts w:asciiTheme="minorHAnsi" w:hAnsiTheme="minorHAnsi" w:cstheme="minorHAnsi"/>
          <w:color w:val="000000"/>
          <w:sz w:val="22"/>
          <w:szCs w:val="22"/>
        </w:rPr>
        <w:t>recogidas</w:t>
      </w:r>
      <w:r w:rsidRPr="008D7FFD">
        <w:rPr>
          <w:rFonts w:asciiTheme="minorHAnsi" w:hAnsiTheme="minorHAnsi" w:cstheme="minorHAnsi"/>
          <w:color w:val="000000"/>
          <w:sz w:val="22"/>
          <w:szCs w:val="22"/>
        </w:rPr>
        <w:t xml:space="preserve"> de las cuentas anuales de 20</w:t>
      </w:r>
      <w:r w:rsidR="00FB7841">
        <w:rPr>
          <w:rFonts w:asciiTheme="minorHAnsi" w:hAnsiTheme="minorHAnsi" w:cstheme="minorHAnsi"/>
          <w:color w:val="000000"/>
          <w:sz w:val="22"/>
          <w:szCs w:val="22"/>
        </w:rPr>
        <w:t>2</w:t>
      </w:r>
      <w:r w:rsidR="00286ABD">
        <w:rPr>
          <w:rFonts w:asciiTheme="minorHAnsi" w:hAnsiTheme="minorHAnsi" w:cstheme="minorHAnsi"/>
          <w:color w:val="000000"/>
          <w:sz w:val="22"/>
          <w:szCs w:val="22"/>
        </w:rPr>
        <w:t>3, las cuales fueron aprobadas por la Junta General ordinaria y universal, celebrada el 24 de mayo de 2024, con las competencias propias del Pleno del Excmo. Ayuntamiento de Las Palmas de Gran Canaria. Dichas cuentas se encuentran depositadas en el Registro Mercantil de Las Palmas.</w:t>
      </w:r>
      <w:r w:rsidRPr="008D7FFD">
        <w:rPr>
          <w:rFonts w:asciiTheme="minorHAnsi" w:hAnsiTheme="minorHAnsi" w:cstheme="minorHAnsi"/>
          <w:color w:val="000000"/>
          <w:sz w:val="22"/>
          <w:szCs w:val="22"/>
        </w:rPr>
        <w:t xml:space="preserve"> </w:t>
      </w:r>
    </w:p>
    <w:p w14:paraId="2A89573A" w14:textId="77777777" w:rsidR="00EC6368" w:rsidRPr="008D7FFD" w:rsidRDefault="00EC6368">
      <w:pPr>
        <w:autoSpaceDE w:val="0"/>
        <w:jc w:val="both"/>
        <w:rPr>
          <w:rFonts w:asciiTheme="minorHAnsi" w:hAnsiTheme="minorHAnsi" w:cstheme="minorHAnsi"/>
          <w:color w:val="000000"/>
          <w:sz w:val="22"/>
          <w:szCs w:val="22"/>
        </w:rPr>
      </w:pPr>
    </w:p>
    <w:p w14:paraId="71E40BD5"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gastos de personal.</w:t>
      </w:r>
    </w:p>
    <w:p w14:paraId="54A6DA52" w14:textId="77777777" w:rsidR="00EC6368" w:rsidRPr="008D7FFD" w:rsidRDefault="00EC6368">
      <w:pPr>
        <w:autoSpaceDE w:val="0"/>
        <w:jc w:val="both"/>
        <w:rPr>
          <w:rFonts w:asciiTheme="minorHAnsi" w:hAnsiTheme="minorHAnsi" w:cstheme="minorHAnsi"/>
          <w:color w:val="0563C2"/>
          <w:sz w:val="22"/>
          <w:szCs w:val="22"/>
        </w:rPr>
      </w:pPr>
    </w:p>
    <w:p w14:paraId="20126404"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 xml:space="preserve">6.- Servicios y Procedimientos: </w:t>
      </w:r>
    </w:p>
    <w:p w14:paraId="5A3E6311" w14:textId="77777777" w:rsidR="00286ABD" w:rsidRPr="008D7FFD" w:rsidRDefault="00286ABD">
      <w:pPr>
        <w:autoSpaceDE w:val="0"/>
        <w:jc w:val="both"/>
        <w:rPr>
          <w:rFonts w:asciiTheme="minorHAnsi" w:hAnsiTheme="minorHAnsi" w:cstheme="minorHAnsi"/>
          <w:b/>
          <w:bCs/>
          <w:color w:val="000000"/>
          <w:sz w:val="22"/>
          <w:szCs w:val="22"/>
        </w:rPr>
      </w:pPr>
    </w:p>
    <w:p w14:paraId="7C93BA54"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sobre los procedimientos que afecten a los derechos o intereses legítimos de las personas e información precisa para el inicio de la tramitación electrónica del procedimiento, facilitando el Link del comisionado de transparencia.</w:t>
      </w:r>
    </w:p>
    <w:p w14:paraId="4A60104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Procedimiento para la presentación de quejas y reclamaciones sobre el funcionamiento del servicio, facilitando modelo de solicitud para acceder a la información pública.</w:t>
      </w:r>
    </w:p>
    <w:p w14:paraId="625DD6C0" w14:textId="77777777"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Presentadas y aceptadas o resueltas a favor de los interesados.</w:t>
      </w:r>
    </w:p>
    <w:p w14:paraId="77C78BA9" w14:textId="77777777" w:rsidR="00286ABD" w:rsidRPr="008D7FFD" w:rsidRDefault="00286ABD">
      <w:pPr>
        <w:autoSpaceDE w:val="0"/>
        <w:jc w:val="both"/>
        <w:rPr>
          <w:rFonts w:asciiTheme="minorHAnsi" w:hAnsiTheme="minorHAnsi" w:cstheme="minorHAnsi"/>
          <w:color w:val="000000"/>
          <w:sz w:val="22"/>
          <w:szCs w:val="22"/>
        </w:rPr>
      </w:pPr>
    </w:p>
    <w:p w14:paraId="450464DB"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la oficina virtual de la web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w:t>
      </w:r>
    </w:p>
    <w:p w14:paraId="549E0EFB" w14:textId="77777777" w:rsidR="00EC6368" w:rsidRPr="008D7FFD" w:rsidRDefault="00EC6368">
      <w:pPr>
        <w:autoSpaceDE w:val="0"/>
        <w:jc w:val="both"/>
        <w:rPr>
          <w:rFonts w:asciiTheme="minorHAnsi" w:hAnsiTheme="minorHAnsi" w:cstheme="minorHAnsi"/>
          <w:color w:val="000000"/>
          <w:sz w:val="22"/>
          <w:szCs w:val="22"/>
        </w:rPr>
      </w:pPr>
    </w:p>
    <w:p w14:paraId="4EB1A2D4"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7.- Económico-Financiera:</w:t>
      </w:r>
    </w:p>
    <w:p w14:paraId="525899B0" w14:textId="77777777" w:rsidR="00286ABD" w:rsidRPr="008D7FFD" w:rsidRDefault="00286ABD">
      <w:pPr>
        <w:autoSpaceDE w:val="0"/>
        <w:jc w:val="both"/>
        <w:rPr>
          <w:rFonts w:asciiTheme="minorHAnsi" w:hAnsiTheme="minorHAnsi" w:cstheme="minorHAnsi"/>
          <w:b/>
          <w:bCs/>
          <w:color w:val="000000"/>
          <w:sz w:val="22"/>
          <w:szCs w:val="22"/>
        </w:rPr>
      </w:pPr>
    </w:p>
    <w:p w14:paraId="0FC06B39" w14:textId="5686E48F"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Presupuestos año 2016/2017/2018 /2019</w:t>
      </w:r>
      <w:r w:rsidR="00E94D0E" w:rsidRPr="008D7FFD">
        <w:rPr>
          <w:rFonts w:asciiTheme="minorHAnsi" w:hAnsiTheme="minorHAnsi" w:cstheme="minorHAnsi"/>
          <w:color w:val="000000"/>
          <w:sz w:val="22"/>
          <w:szCs w:val="22"/>
        </w:rPr>
        <w:t>/</w:t>
      </w:r>
      <w:r w:rsidRPr="008D7FFD">
        <w:rPr>
          <w:rFonts w:asciiTheme="minorHAnsi" w:hAnsiTheme="minorHAnsi" w:cstheme="minorHAnsi"/>
          <w:color w:val="000000"/>
          <w:sz w:val="22"/>
          <w:szCs w:val="22"/>
        </w:rPr>
        <w:t xml:space="preserve"> 2020</w:t>
      </w:r>
      <w:r w:rsidR="00BE55B7" w:rsidRPr="008D7FFD">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w:t>
      </w:r>
      <w:r w:rsidR="00BE55B7" w:rsidRPr="008D7FFD">
        <w:rPr>
          <w:rFonts w:asciiTheme="minorHAnsi" w:hAnsiTheme="minorHAnsi" w:cstheme="minorHAnsi"/>
          <w:color w:val="000000"/>
          <w:sz w:val="22"/>
          <w:szCs w:val="22"/>
        </w:rPr>
        <w:t xml:space="preserve"> 2021</w:t>
      </w:r>
      <w:r w:rsidR="00FB7841">
        <w:rPr>
          <w:rFonts w:asciiTheme="minorHAnsi" w:hAnsiTheme="minorHAnsi" w:cstheme="minorHAnsi"/>
          <w:color w:val="000000"/>
          <w:sz w:val="22"/>
          <w:szCs w:val="22"/>
        </w:rPr>
        <w:t>,</w:t>
      </w:r>
      <w:r w:rsidR="00E94D0E" w:rsidRPr="008D7FFD">
        <w:rPr>
          <w:rFonts w:asciiTheme="minorHAnsi" w:hAnsiTheme="minorHAnsi" w:cstheme="minorHAnsi"/>
          <w:color w:val="000000"/>
          <w:sz w:val="22"/>
          <w:szCs w:val="22"/>
        </w:rPr>
        <w:t xml:space="preserve"> 2022</w:t>
      </w:r>
      <w:r w:rsidR="00FB7841">
        <w:rPr>
          <w:rFonts w:asciiTheme="minorHAnsi" w:hAnsiTheme="minorHAnsi" w:cstheme="minorHAnsi"/>
          <w:color w:val="000000"/>
          <w:sz w:val="22"/>
          <w:szCs w:val="22"/>
        </w:rPr>
        <w:t>2023</w:t>
      </w:r>
      <w:r w:rsidR="00DF7B69">
        <w:rPr>
          <w:rFonts w:asciiTheme="minorHAnsi" w:hAnsiTheme="minorHAnsi" w:cstheme="minorHAnsi"/>
          <w:color w:val="000000"/>
          <w:sz w:val="22"/>
          <w:szCs w:val="22"/>
        </w:rPr>
        <w:t xml:space="preserve">, </w:t>
      </w:r>
      <w:r w:rsidR="00286ABD">
        <w:rPr>
          <w:rFonts w:asciiTheme="minorHAnsi" w:hAnsiTheme="minorHAnsi" w:cstheme="minorHAnsi"/>
          <w:color w:val="000000"/>
          <w:sz w:val="22"/>
          <w:szCs w:val="22"/>
        </w:rPr>
        <w:t>2024</w:t>
      </w:r>
      <w:r w:rsidR="00DF7B69">
        <w:rPr>
          <w:rFonts w:asciiTheme="minorHAnsi" w:hAnsiTheme="minorHAnsi" w:cstheme="minorHAnsi"/>
          <w:color w:val="000000"/>
          <w:sz w:val="22"/>
          <w:szCs w:val="22"/>
        </w:rPr>
        <w:t xml:space="preserve"> y 2025</w:t>
      </w:r>
      <w:r w:rsidR="00286ABD">
        <w:rPr>
          <w:rFonts w:asciiTheme="minorHAnsi" w:hAnsiTheme="minorHAnsi" w:cstheme="minorHAnsi"/>
          <w:color w:val="000000"/>
          <w:sz w:val="22"/>
          <w:szCs w:val="22"/>
        </w:rPr>
        <w:t xml:space="preserve">, estos últimos </w:t>
      </w:r>
      <w:r w:rsidR="00DF7B69">
        <w:rPr>
          <w:rFonts w:asciiTheme="minorHAnsi" w:hAnsiTheme="minorHAnsi" w:cstheme="minorHAnsi"/>
          <w:color w:val="000000"/>
          <w:sz w:val="22"/>
          <w:szCs w:val="22"/>
        </w:rPr>
        <w:t xml:space="preserve">aprobados en el consejo de administración de la Sociedad en la sesión celebrada el 6 de noviembre de </w:t>
      </w:r>
      <w:r w:rsidR="006B4134">
        <w:rPr>
          <w:rFonts w:asciiTheme="minorHAnsi" w:hAnsiTheme="minorHAnsi" w:cstheme="minorHAnsi"/>
          <w:color w:val="000000"/>
          <w:sz w:val="22"/>
          <w:szCs w:val="22"/>
        </w:rPr>
        <w:t>2024.</w:t>
      </w:r>
    </w:p>
    <w:p w14:paraId="63DE12C4" w14:textId="0D5BC545"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Cuentas Generales de la entidad, años 2016/2017/2018/2019/2020</w:t>
      </w:r>
      <w:r w:rsidR="00FB7841">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2021</w:t>
      </w:r>
      <w:r w:rsidR="00DF7B69">
        <w:rPr>
          <w:rFonts w:asciiTheme="minorHAnsi" w:hAnsiTheme="minorHAnsi" w:cstheme="minorHAnsi"/>
          <w:color w:val="000000"/>
          <w:sz w:val="22"/>
          <w:szCs w:val="22"/>
        </w:rPr>
        <w:t>,</w:t>
      </w:r>
      <w:r w:rsidR="00FB7841">
        <w:rPr>
          <w:rFonts w:asciiTheme="minorHAnsi" w:hAnsiTheme="minorHAnsi" w:cstheme="minorHAnsi"/>
          <w:color w:val="000000"/>
          <w:sz w:val="22"/>
          <w:szCs w:val="22"/>
        </w:rPr>
        <w:t xml:space="preserve"> 2022</w:t>
      </w:r>
      <w:r w:rsidR="006B4134">
        <w:rPr>
          <w:rFonts w:asciiTheme="minorHAnsi" w:hAnsiTheme="minorHAnsi" w:cstheme="minorHAnsi"/>
          <w:color w:val="000000"/>
          <w:sz w:val="22"/>
          <w:szCs w:val="22"/>
        </w:rPr>
        <w:t>,</w:t>
      </w:r>
      <w:r w:rsidR="00DF7B69">
        <w:rPr>
          <w:rFonts w:asciiTheme="minorHAnsi" w:hAnsiTheme="minorHAnsi" w:cstheme="minorHAnsi"/>
          <w:color w:val="000000"/>
          <w:sz w:val="22"/>
          <w:szCs w:val="22"/>
        </w:rPr>
        <w:t>2023</w:t>
      </w:r>
      <w:r w:rsidR="006B4134">
        <w:rPr>
          <w:rFonts w:asciiTheme="minorHAnsi" w:hAnsiTheme="minorHAnsi" w:cstheme="minorHAnsi"/>
          <w:color w:val="000000"/>
          <w:sz w:val="22"/>
          <w:szCs w:val="22"/>
        </w:rPr>
        <w:t xml:space="preserve"> y 2024</w:t>
      </w:r>
      <w:r w:rsidR="00DF7B69">
        <w:rPr>
          <w:rFonts w:asciiTheme="minorHAnsi" w:hAnsiTheme="minorHAnsi" w:cstheme="minorHAnsi"/>
          <w:color w:val="000000"/>
          <w:sz w:val="22"/>
          <w:szCs w:val="22"/>
        </w:rPr>
        <w:t xml:space="preserve"> </w:t>
      </w:r>
      <w:r w:rsidRPr="00DF7B69">
        <w:rPr>
          <w:rFonts w:asciiTheme="minorHAnsi" w:hAnsiTheme="minorHAnsi" w:cstheme="minorHAnsi"/>
          <w:color w:val="000000"/>
          <w:sz w:val="22"/>
          <w:szCs w:val="22"/>
        </w:rPr>
        <w:t xml:space="preserve">(balance, </w:t>
      </w:r>
      <w:r w:rsidR="006B4134" w:rsidRPr="00DF7B69">
        <w:rPr>
          <w:rFonts w:asciiTheme="minorHAnsi" w:hAnsiTheme="minorHAnsi" w:cstheme="minorHAnsi"/>
          <w:color w:val="000000"/>
          <w:sz w:val="22"/>
          <w:szCs w:val="22"/>
        </w:rPr>
        <w:t xml:space="preserve">cuenta </w:t>
      </w:r>
      <w:r w:rsidR="006B4134" w:rsidRPr="0052114C">
        <w:rPr>
          <w:rFonts w:asciiTheme="minorHAnsi" w:hAnsiTheme="minorHAnsi" w:cstheme="minorHAnsi"/>
          <w:color w:val="000000"/>
          <w:sz w:val="22"/>
          <w:szCs w:val="22"/>
        </w:rPr>
        <w:t>de</w:t>
      </w:r>
      <w:r w:rsidR="00DF7B69" w:rsidRPr="0052114C">
        <w:rPr>
          <w:rFonts w:asciiTheme="minorHAnsi" w:hAnsiTheme="minorHAnsi" w:cstheme="minorHAnsi"/>
          <w:color w:val="000000"/>
          <w:sz w:val="22"/>
          <w:szCs w:val="22"/>
        </w:rPr>
        <w:t xml:space="preserve"> pérdidas y ganancias, cambios en el patrimonio neto del ejercicio, un estado de flujos de efectivo y correspondiente memoria al efecto).  </w:t>
      </w:r>
    </w:p>
    <w:p w14:paraId="470D4BFF" w14:textId="77777777" w:rsidR="00DF7B69" w:rsidRPr="008D7FFD" w:rsidRDefault="00DF7B69">
      <w:pPr>
        <w:autoSpaceDE w:val="0"/>
        <w:jc w:val="both"/>
        <w:rPr>
          <w:rFonts w:asciiTheme="minorHAnsi" w:hAnsiTheme="minorHAnsi" w:cstheme="minorHAnsi"/>
          <w:color w:val="000000"/>
          <w:sz w:val="22"/>
          <w:szCs w:val="22"/>
        </w:rPr>
      </w:pPr>
    </w:p>
    <w:p w14:paraId="5982D7B9" w14:textId="515C2D9D"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Informes de auditoría de cuentas y de fiscalización de la </w:t>
      </w:r>
      <w:r w:rsidR="00DF7B69">
        <w:rPr>
          <w:rFonts w:asciiTheme="minorHAnsi" w:hAnsiTheme="minorHAnsi" w:cstheme="minorHAnsi"/>
          <w:color w:val="000000"/>
          <w:sz w:val="22"/>
          <w:szCs w:val="22"/>
        </w:rPr>
        <w:t>Sociedad</w:t>
      </w:r>
      <w:r w:rsidR="00DF7B69" w:rsidRPr="008D7FFD">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por parte de órganos de controles externos.</w:t>
      </w:r>
    </w:p>
    <w:p w14:paraId="0B9AAAFA" w14:textId="77777777" w:rsidR="00EC6368" w:rsidRPr="008D7FFD" w:rsidRDefault="00EC6368">
      <w:pPr>
        <w:autoSpaceDE w:val="0"/>
        <w:jc w:val="both"/>
        <w:rPr>
          <w:rFonts w:asciiTheme="minorHAnsi" w:hAnsiTheme="minorHAnsi" w:cstheme="minorHAnsi"/>
          <w:color w:val="000000"/>
          <w:sz w:val="22"/>
          <w:szCs w:val="22"/>
        </w:rPr>
      </w:pPr>
    </w:p>
    <w:p w14:paraId="479DF955" w14:textId="582DDAAF"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00414C2F">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con posibilidad de acceder en el apartado información económico financiera.</w:t>
      </w:r>
    </w:p>
    <w:p w14:paraId="12731AC8" w14:textId="77777777" w:rsidR="00EC6368" w:rsidRPr="008D7FFD" w:rsidRDefault="00EC6368">
      <w:pPr>
        <w:autoSpaceDE w:val="0"/>
        <w:jc w:val="both"/>
        <w:rPr>
          <w:rFonts w:asciiTheme="minorHAnsi" w:hAnsiTheme="minorHAnsi" w:cstheme="minorHAnsi"/>
          <w:color w:val="000000"/>
          <w:sz w:val="22"/>
          <w:szCs w:val="22"/>
        </w:rPr>
      </w:pPr>
    </w:p>
    <w:p w14:paraId="64D72985"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8.- Patrimonio:</w:t>
      </w:r>
    </w:p>
    <w:p w14:paraId="3E6CD68B" w14:textId="77777777" w:rsidR="00DF7B69" w:rsidRPr="008D7FFD" w:rsidRDefault="00DF7B69">
      <w:pPr>
        <w:autoSpaceDE w:val="0"/>
        <w:jc w:val="both"/>
        <w:rPr>
          <w:rFonts w:asciiTheme="minorHAnsi" w:hAnsiTheme="minorHAnsi" w:cstheme="minorHAnsi"/>
          <w:b/>
          <w:bCs/>
          <w:color w:val="000000"/>
          <w:sz w:val="22"/>
          <w:szCs w:val="22"/>
        </w:rPr>
      </w:pPr>
    </w:p>
    <w:p w14:paraId="2D60BC5E" w14:textId="584ED36C"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 existe relación de bienes</w:t>
      </w:r>
      <w:r w:rsidR="00DF7B69">
        <w:rPr>
          <w:rFonts w:asciiTheme="minorHAnsi" w:hAnsiTheme="minorHAnsi" w:cstheme="minorHAnsi"/>
          <w:color w:val="000000"/>
          <w:sz w:val="22"/>
          <w:szCs w:val="22"/>
        </w:rPr>
        <w:t xml:space="preserve"> al no tener la titularidad de los mismos siendo los bienes en los que la Sociedad desarrolla su actividad bienes adscritos a través de diferentes resoluciones llevadas a cabo por Patrimonio del Excmo. Ayuntamiento de la ciudad de Las Palmas de Gran Canaria.</w:t>
      </w:r>
    </w:p>
    <w:p w14:paraId="73272EF2" w14:textId="77777777" w:rsidR="00EC6368" w:rsidRPr="008D7FFD" w:rsidRDefault="00EC6368">
      <w:pPr>
        <w:autoSpaceDE w:val="0"/>
        <w:jc w:val="both"/>
        <w:rPr>
          <w:rFonts w:asciiTheme="minorHAnsi" w:hAnsiTheme="minorHAnsi" w:cstheme="minorHAnsi"/>
          <w:color w:val="000000"/>
          <w:sz w:val="22"/>
          <w:szCs w:val="22"/>
        </w:rPr>
      </w:pPr>
    </w:p>
    <w:p w14:paraId="41410116"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9.- Contratos:</w:t>
      </w:r>
    </w:p>
    <w:p w14:paraId="02DE596F" w14:textId="77777777" w:rsidR="00DF7B69" w:rsidRPr="008D7FFD" w:rsidRDefault="00DF7B69">
      <w:pPr>
        <w:autoSpaceDE w:val="0"/>
        <w:jc w:val="both"/>
        <w:rPr>
          <w:rFonts w:asciiTheme="minorHAnsi" w:hAnsiTheme="minorHAnsi" w:cstheme="minorHAnsi"/>
          <w:b/>
          <w:bCs/>
          <w:color w:val="000000"/>
          <w:sz w:val="22"/>
          <w:szCs w:val="22"/>
        </w:rPr>
      </w:pPr>
    </w:p>
    <w:p w14:paraId="75D3768A" w14:textId="77777777" w:rsidR="00EC6368" w:rsidRPr="008D7FFD" w:rsidRDefault="00130DBE">
      <w:pPr>
        <w:widowControl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de las entidades y órganos de contratación.</w:t>
      </w:r>
    </w:p>
    <w:p w14:paraId="4C778C4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Tipo de contrato.</w:t>
      </w:r>
    </w:p>
    <w:p w14:paraId="214CB13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Licitaciones en curso/ adjudicadas/anuladas/ históricos/desiertas.</w:t>
      </w:r>
    </w:p>
    <w:p w14:paraId="163690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Prescripciones Técnicas (PPT).</w:t>
      </w:r>
    </w:p>
    <w:p w14:paraId="4648ACD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cláusulas administrativas (PCAP).</w:t>
      </w:r>
    </w:p>
    <w:p w14:paraId="6D1C43F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Composición y forma de designación.</w:t>
      </w:r>
    </w:p>
    <w:p w14:paraId="7067747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Convocatorias de las mesas de contratación.</w:t>
      </w:r>
    </w:p>
    <w:p w14:paraId="4BEB6261" w14:textId="0D05F7DD"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Preguntas frecuentes y aclaraciones relativas al contenido de los contratos.</w:t>
      </w:r>
      <w:r w:rsidR="0076096C">
        <w:rPr>
          <w:rFonts w:asciiTheme="minorHAnsi" w:hAnsiTheme="minorHAnsi" w:cstheme="minorHAnsi"/>
          <w:color w:val="000000"/>
          <w:sz w:val="22"/>
          <w:szCs w:val="22"/>
        </w:rPr>
        <w:t xml:space="preserve"> Hemos especificado </w:t>
      </w:r>
      <w:r w:rsidR="0076096C" w:rsidRPr="0076096C">
        <w:rPr>
          <w:rFonts w:asciiTheme="minorHAnsi" w:hAnsiTheme="minorHAnsi" w:cstheme="minorHAnsi"/>
          <w:color w:val="000000"/>
          <w:sz w:val="22"/>
          <w:szCs w:val="22"/>
        </w:rPr>
        <w:t>las preguntas más frecuentes que nos solicitan y que son en general aclaraciones a criterios de adjudicación y a pliegos técnicos.</w:t>
      </w:r>
    </w:p>
    <w:p w14:paraId="2029EDCB" w14:textId="254CABEC"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w:t>
      </w:r>
    </w:p>
    <w:p w14:paraId="1A1A2FE8" w14:textId="104A010F" w:rsidR="00F60176" w:rsidRDefault="00F60176" w:rsidP="00F60176">
      <w:pPr>
        <w:suppressAutoHyphens w:val="0"/>
        <w:autoSpaceDE w:val="0"/>
        <w:adjustRightInd w:val="0"/>
        <w:jc w:val="both"/>
        <w:rPr>
          <w:rFonts w:cs="Arial"/>
          <w:bCs/>
          <w:color w:val="000000"/>
          <w:sz w:val="22"/>
          <w:szCs w:val="22"/>
          <w:lang w:eastAsia="es-ES"/>
        </w:rPr>
      </w:pPr>
      <w:r w:rsidRPr="008D7FFD">
        <w:rPr>
          <w:rFonts w:asciiTheme="minorHAnsi" w:hAnsiTheme="minorHAnsi" w:cstheme="minorHAnsi"/>
          <w:color w:val="000000"/>
          <w:sz w:val="22"/>
          <w:szCs w:val="22"/>
        </w:rPr>
        <w:t>•</w:t>
      </w:r>
      <w:r>
        <w:rPr>
          <w:rFonts w:cs="Arial"/>
          <w:bCs/>
          <w:color w:val="000000"/>
          <w:sz w:val="22"/>
          <w:szCs w:val="22"/>
          <w:lang w:eastAsia="es-ES"/>
        </w:rPr>
        <w:t>Respecto a los contratos menores, se contiene la información completa incluso con publicación de la información correspondiente a</w:t>
      </w:r>
      <w:r w:rsidR="00DF7B69">
        <w:rPr>
          <w:rFonts w:cs="Arial"/>
          <w:bCs/>
          <w:color w:val="000000"/>
          <w:sz w:val="22"/>
          <w:szCs w:val="22"/>
          <w:lang w:eastAsia="es-ES"/>
        </w:rPr>
        <w:t xml:space="preserve">l ejercicio 2023 </w:t>
      </w:r>
      <w:r w:rsidR="006B4134">
        <w:rPr>
          <w:rFonts w:cs="Arial"/>
          <w:bCs/>
          <w:color w:val="000000"/>
          <w:sz w:val="22"/>
          <w:szCs w:val="22"/>
          <w:lang w:eastAsia="es-ES"/>
        </w:rPr>
        <w:t>,</w:t>
      </w:r>
      <w:r w:rsidR="00DF7B69">
        <w:rPr>
          <w:rFonts w:cs="Arial"/>
          <w:bCs/>
          <w:color w:val="000000"/>
          <w:sz w:val="22"/>
          <w:szCs w:val="22"/>
          <w:lang w:eastAsia="es-ES"/>
        </w:rPr>
        <w:t>2024</w:t>
      </w:r>
      <w:r w:rsidR="006B4134">
        <w:rPr>
          <w:rFonts w:cs="Arial"/>
          <w:bCs/>
          <w:color w:val="000000"/>
          <w:sz w:val="22"/>
          <w:szCs w:val="22"/>
          <w:lang w:eastAsia="es-ES"/>
        </w:rPr>
        <w:t xml:space="preserve"> y 2025</w:t>
      </w:r>
      <w:r w:rsidR="00DF7B69">
        <w:rPr>
          <w:rFonts w:cs="Arial"/>
          <w:bCs/>
          <w:color w:val="000000"/>
          <w:sz w:val="22"/>
          <w:szCs w:val="22"/>
          <w:lang w:eastAsia="es-ES"/>
        </w:rPr>
        <w:t xml:space="preserve"> </w:t>
      </w:r>
      <w:r>
        <w:rPr>
          <w:rFonts w:cs="Arial"/>
          <w:bCs/>
          <w:color w:val="000000"/>
          <w:sz w:val="22"/>
          <w:szCs w:val="22"/>
          <w:lang w:eastAsia="es-ES"/>
        </w:rPr>
        <w:t>.</w:t>
      </w:r>
    </w:p>
    <w:p w14:paraId="096C4831" w14:textId="77777777" w:rsidR="00F60176" w:rsidRPr="008D7FFD" w:rsidRDefault="00F60176">
      <w:pPr>
        <w:autoSpaceDE w:val="0"/>
        <w:jc w:val="both"/>
        <w:rPr>
          <w:rFonts w:asciiTheme="minorHAnsi" w:hAnsiTheme="minorHAnsi" w:cstheme="minorHAnsi"/>
          <w:color w:val="000000"/>
          <w:sz w:val="22"/>
          <w:szCs w:val="22"/>
        </w:rPr>
      </w:pPr>
    </w:p>
    <w:p w14:paraId="03945453" w14:textId="1353752B"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contratación, dentro del cual se encuentran los apartados referentes al perfil del contratante, licitaciones y contratos menores</w:t>
      </w:r>
      <w:r w:rsidR="00DF7B69">
        <w:rPr>
          <w:rFonts w:asciiTheme="minorHAnsi" w:hAnsiTheme="minorHAnsi" w:cstheme="minorHAnsi"/>
          <w:color w:val="000000"/>
          <w:sz w:val="22"/>
          <w:szCs w:val="22"/>
        </w:rPr>
        <w:t>.</w:t>
      </w:r>
    </w:p>
    <w:p w14:paraId="6C73A3E1" w14:textId="77777777" w:rsidR="00EC6368" w:rsidRPr="008D7FFD" w:rsidRDefault="00EC6368">
      <w:pPr>
        <w:autoSpaceDE w:val="0"/>
        <w:jc w:val="both"/>
        <w:rPr>
          <w:rFonts w:asciiTheme="minorHAnsi" w:hAnsiTheme="minorHAnsi" w:cstheme="minorHAnsi"/>
          <w:color w:val="000000"/>
          <w:sz w:val="22"/>
          <w:szCs w:val="22"/>
        </w:rPr>
      </w:pPr>
    </w:p>
    <w:p w14:paraId="2B62E3A1"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10.-Convenios y Subvenciones:</w:t>
      </w:r>
    </w:p>
    <w:p w14:paraId="215EF562" w14:textId="77777777" w:rsidR="00DF7B69" w:rsidRPr="008D7FFD" w:rsidRDefault="00DF7B69">
      <w:pPr>
        <w:autoSpaceDE w:val="0"/>
        <w:jc w:val="both"/>
        <w:rPr>
          <w:rFonts w:asciiTheme="minorHAnsi" w:hAnsiTheme="minorHAnsi" w:cstheme="minorHAnsi"/>
          <w:b/>
          <w:bCs/>
          <w:color w:val="000000"/>
          <w:sz w:val="22"/>
          <w:szCs w:val="22"/>
        </w:rPr>
      </w:pPr>
    </w:p>
    <w:p w14:paraId="0BC358C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Partes firmantes.</w:t>
      </w:r>
    </w:p>
    <w:p w14:paraId="60309F9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 con indicación de las actuaciones o actividades comprometidas</w:t>
      </w:r>
    </w:p>
    <w:p w14:paraId="4467DFB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Órganos encargados de la ejecución</w:t>
      </w:r>
    </w:p>
    <w:p w14:paraId="5FFD4FB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Financiación, con indicación de las cantidades que corresponden a cada una de las partes firmantes.</w:t>
      </w:r>
    </w:p>
    <w:p w14:paraId="13E8AF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Plazo y condiciones de vigencia</w:t>
      </w:r>
    </w:p>
    <w:p w14:paraId="6097D675"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Encomiendas de gestión, encargos.</w:t>
      </w:r>
    </w:p>
    <w:p w14:paraId="3C0B26C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Planes estratégicos de ayudas y subvenciones aprobados</w:t>
      </w:r>
    </w:p>
    <w:p w14:paraId="12DBD68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Objetivo o finalidad, importes que se destinen, descripción de los posibles beneficiarios y criterios de distribución o concesión (esto último sólo para cabildos)</w:t>
      </w:r>
    </w:p>
    <w:p w14:paraId="16C17C9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Relación de ayudas y subvenciones concedidas</w:t>
      </w:r>
    </w:p>
    <w:p w14:paraId="17D48EC2" w14:textId="77777777" w:rsidR="00EC6368" w:rsidRPr="008D7FFD" w:rsidRDefault="00EC6368">
      <w:pPr>
        <w:autoSpaceDE w:val="0"/>
        <w:jc w:val="both"/>
        <w:rPr>
          <w:rFonts w:asciiTheme="minorHAnsi" w:hAnsiTheme="minorHAnsi" w:cstheme="minorHAnsi"/>
          <w:color w:val="000000"/>
          <w:sz w:val="22"/>
          <w:szCs w:val="22"/>
        </w:rPr>
      </w:pPr>
    </w:p>
    <w:p w14:paraId="5075784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Esta información se encuentra publicada en el portal de transparencia del</w:t>
      </w:r>
      <w:r w:rsidRPr="008D7FFD">
        <w:rPr>
          <w:rFonts w:asciiTheme="minorHAnsi" w:hAnsiTheme="minorHAnsi" w:cstheme="minorHAnsi"/>
          <w:b/>
          <w:bCs/>
          <w:color w:val="000000"/>
          <w:sz w:val="22"/>
          <w:szCs w:val="22"/>
        </w:rPr>
        <w:t xml:space="preserve"> 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ayudas y subvenciones.</w:t>
      </w:r>
    </w:p>
    <w:p w14:paraId="4594006D" w14:textId="77777777" w:rsidR="00EC6368" w:rsidRPr="008D7FFD" w:rsidRDefault="00EC6368">
      <w:pPr>
        <w:autoSpaceDE w:val="0"/>
        <w:jc w:val="both"/>
        <w:rPr>
          <w:rFonts w:asciiTheme="minorHAnsi" w:hAnsiTheme="minorHAnsi" w:cstheme="minorHAnsi"/>
          <w:color w:val="000000"/>
          <w:sz w:val="22"/>
          <w:szCs w:val="22"/>
        </w:rPr>
      </w:pPr>
    </w:p>
    <w:p w14:paraId="59E13E1F" w14:textId="77777777" w:rsidR="00EC6368"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11.- Datos de acceso:</w:t>
      </w:r>
    </w:p>
    <w:p w14:paraId="26BF61D9" w14:textId="77777777" w:rsidR="00DF7B69" w:rsidRPr="008D7FFD" w:rsidRDefault="00DF7B69">
      <w:pPr>
        <w:autoSpaceDE w:val="0"/>
        <w:jc w:val="both"/>
        <w:rPr>
          <w:rFonts w:asciiTheme="minorHAnsi" w:hAnsiTheme="minorHAnsi" w:cstheme="minorHAnsi"/>
          <w:b/>
          <w:bCs/>
          <w:color w:val="000000"/>
          <w:sz w:val="22"/>
          <w:szCs w:val="22"/>
        </w:rPr>
      </w:pPr>
    </w:p>
    <w:p w14:paraId="31191403" w14:textId="77777777"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Derecho de acceso a la Información Pública.</w:t>
      </w:r>
    </w:p>
    <w:p w14:paraId="57DCE95B" w14:textId="77777777" w:rsidR="00DF7B69" w:rsidRPr="008D7FFD" w:rsidRDefault="00DF7B69">
      <w:pPr>
        <w:autoSpaceDE w:val="0"/>
        <w:jc w:val="both"/>
        <w:rPr>
          <w:rFonts w:asciiTheme="minorHAnsi" w:hAnsiTheme="minorHAnsi" w:cstheme="minorHAnsi"/>
          <w:color w:val="000000"/>
          <w:sz w:val="22"/>
          <w:szCs w:val="22"/>
        </w:rPr>
      </w:pPr>
    </w:p>
    <w:p w14:paraId="2A218E62"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recogida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derecho de acceso.</w:t>
      </w:r>
    </w:p>
    <w:p w14:paraId="64601087" w14:textId="77777777" w:rsidR="00EC6368" w:rsidRPr="008D7FFD" w:rsidRDefault="00EC6368">
      <w:pPr>
        <w:autoSpaceDE w:val="0"/>
        <w:jc w:val="both"/>
        <w:rPr>
          <w:rFonts w:asciiTheme="minorHAnsi" w:hAnsiTheme="minorHAnsi" w:cstheme="minorHAnsi"/>
          <w:color w:val="000000"/>
          <w:sz w:val="22"/>
          <w:szCs w:val="22"/>
        </w:rPr>
      </w:pPr>
    </w:p>
    <w:p w14:paraId="5466FD75" w14:textId="023F1DB4" w:rsidR="00EC6368" w:rsidRPr="0052114C" w:rsidRDefault="00DF7B69">
      <w:pPr>
        <w:autoSpaceDE w:val="0"/>
        <w:jc w:val="both"/>
        <w:rPr>
          <w:rFonts w:asciiTheme="minorHAnsi" w:hAnsiTheme="minorHAnsi" w:cstheme="minorHAnsi"/>
          <w:b/>
          <w:bCs/>
          <w:color w:val="000000"/>
          <w:sz w:val="22"/>
          <w:szCs w:val="22"/>
          <w:u w:val="single"/>
        </w:rPr>
      </w:pPr>
      <w:r w:rsidRPr="0052114C">
        <w:rPr>
          <w:rFonts w:asciiTheme="minorHAnsi" w:hAnsiTheme="minorHAnsi" w:cstheme="minorHAnsi"/>
          <w:b/>
          <w:bCs/>
          <w:color w:val="000000"/>
          <w:sz w:val="22"/>
          <w:szCs w:val="22"/>
          <w:u w:val="single"/>
        </w:rPr>
        <w:t>2º.- PUBLICIDAD PASIVA/ TRANSPARENCIA PASIVA: REFERIDA AL DERECHO DE ACCESO A LA INFORMACIÓN PÚBLICA DE CONFORMIDAD CON LO DISPUESTO EN LOS ARTÍCULOS 35 Y SIGUIENTES DE LA LEY.</w:t>
      </w:r>
    </w:p>
    <w:p w14:paraId="0E16595C" w14:textId="77777777" w:rsidR="00EC6368" w:rsidRPr="008D7FFD" w:rsidRDefault="00EC6368">
      <w:pPr>
        <w:autoSpaceDE w:val="0"/>
        <w:jc w:val="both"/>
        <w:rPr>
          <w:rFonts w:asciiTheme="minorHAnsi" w:hAnsiTheme="minorHAnsi" w:cstheme="minorHAnsi"/>
          <w:b/>
          <w:bCs/>
          <w:color w:val="000000"/>
          <w:sz w:val="22"/>
          <w:szCs w:val="22"/>
        </w:rPr>
      </w:pPr>
    </w:p>
    <w:p w14:paraId="0A6EC876" w14:textId="6CD2DF4E"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En este punto y siguiendo las pautas marcadas por el Comisionado, han de valorarse los siguientes aspectos en </w:t>
      </w:r>
      <w:r w:rsidR="0052114C">
        <w:rPr>
          <w:rFonts w:asciiTheme="minorHAnsi" w:hAnsiTheme="minorHAnsi" w:cstheme="minorHAnsi"/>
          <w:color w:val="000000"/>
          <w:sz w:val="22"/>
          <w:szCs w:val="22"/>
        </w:rPr>
        <w:t>Sociedad</w:t>
      </w:r>
      <w:r w:rsidRPr="008D7FFD">
        <w:rPr>
          <w:rFonts w:asciiTheme="minorHAnsi" w:hAnsiTheme="minorHAnsi" w:cstheme="minorHAnsi"/>
          <w:color w:val="000000"/>
          <w:sz w:val="22"/>
          <w:szCs w:val="22"/>
        </w:rPr>
        <w:t>:</w:t>
      </w:r>
    </w:p>
    <w:p w14:paraId="570D0685" w14:textId="77777777" w:rsidR="00EC6368" w:rsidRPr="008D7FFD" w:rsidRDefault="00EC6368">
      <w:pPr>
        <w:autoSpaceDE w:val="0"/>
        <w:jc w:val="both"/>
        <w:rPr>
          <w:rFonts w:asciiTheme="minorHAnsi" w:hAnsiTheme="minorHAnsi" w:cstheme="minorHAnsi"/>
          <w:color w:val="000000"/>
          <w:sz w:val="22"/>
          <w:szCs w:val="22"/>
        </w:rPr>
      </w:pPr>
    </w:p>
    <w:p w14:paraId="29C00A3D" w14:textId="77777777"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Formulario web o un modelo de escrito descargable para facilitar a los ciudadanos el poder presentar solicitudes de acceso a la información pública, recogido en la web oficial, apartado Portal de Transparencia.</w:t>
      </w:r>
    </w:p>
    <w:p w14:paraId="7ED27452" w14:textId="77777777" w:rsidR="0052114C" w:rsidRPr="008D7FFD" w:rsidRDefault="0052114C">
      <w:pPr>
        <w:autoSpaceDE w:val="0"/>
        <w:jc w:val="both"/>
        <w:rPr>
          <w:rFonts w:asciiTheme="minorHAnsi" w:hAnsiTheme="minorHAnsi" w:cstheme="minorHAnsi"/>
          <w:color w:val="000000"/>
          <w:sz w:val="22"/>
          <w:szCs w:val="22"/>
        </w:rPr>
      </w:pPr>
    </w:p>
    <w:p w14:paraId="47558B8B" w14:textId="77777777" w:rsidR="00EC6368" w:rsidRDefault="00130DBE">
      <w:pPr>
        <w:autoSpaceDE w:val="0"/>
        <w:jc w:val="both"/>
        <w:rPr>
          <w:rFonts w:asciiTheme="minorHAnsi" w:hAnsiTheme="minorHAnsi" w:cstheme="minorHAnsi"/>
          <w:color w:val="545454"/>
          <w:spacing w:val="8"/>
          <w:sz w:val="22"/>
          <w:szCs w:val="22"/>
          <w:shd w:val="clear" w:color="auto" w:fill="FFFFFF"/>
        </w:rPr>
      </w:pPr>
      <w:r w:rsidRPr="008D7FFD">
        <w:rPr>
          <w:rFonts w:asciiTheme="minorHAnsi" w:hAnsiTheme="minorHAnsi" w:cstheme="minorHAnsi"/>
          <w:color w:val="000000"/>
          <w:sz w:val="22"/>
          <w:szCs w:val="22"/>
        </w:rPr>
        <w:t xml:space="preserve">Dicho modelo se encuentra disponible en el Portal de Transparencia con posibilidad de acceder en el apartado </w:t>
      </w:r>
      <w:r w:rsidRPr="008D7FFD">
        <w:rPr>
          <w:rFonts w:asciiTheme="minorHAnsi" w:hAnsiTheme="minorHAnsi" w:cstheme="minorHAnsi"/>
          <w:color w:val="545454"/>
          <w:spacing w:val="8"/>
          <w:sz w:val="22"/>
          <w:szCs w:val="22"/>
          <w:shd w:val="clear" w:color="auto" w:fill="FFFFFF"/>
        </w:rPr>
        <w:t>presentación de solicitud a la información pública.</w:t>
      </w:r>
    </w:p>
    <w:p w14:paraId="07A7355C" w14:textId="77777777" w:rsidR="0052114C" w:rsidRPr="008D7FFD" w:rsidRDefault="0052114C">
      <w:pPr>
        <w:autoSpaceDE w:val="0"/>
        <w:jc w:val="both"/>
        <w:rPr>
          <w:rFonts w:asciiTheme="minorHAnsi" w:hAnsiTheme="minorHAnsi" w:cstheme="minorHAnsi"/>
          <w:sz w:val="22"/>
          <w:szCs w:val="22"/>
        </w:rPr>
      </w:pPr>
    </w:p>
    <w:p w14:paraId="561840B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Posibilitar el inicio del procedimiento de acceso a la información pública por medios</w:t>
      </w:r>
    </w:p>
    <w:p w14:paraId="7B77D43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telemáticos. </w:t>
      </w:r>
    </w:p>
    <w:p w14:paraId="3F1642F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el Portal de Transparencia sobre el derecho que tienen los ciudadanos a reclamar ante el Comisionado de Transparencia en el caso de que al solicitante no se le conceda acceso a la información solicitada. Esta información está prevista y disponible en el Portal de Transparencia Esta información se encuentra publicada en el portal de transparencia del PROMOCION DE LA CIUDAD DE LAS PALMAS DE GRAN CANARIA S.A.</w:t>
      </w:r>
    </w:p>
    <w:p w14:paraId="5413BBB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las resoluciones que resuelven los procedimientos de acceso a la Información pública sobre la posibilidad de reclamar ante el Comisionado de Transparencia.</w:t>
      </w:r>
    </w:p>
    <w:p w14:paraId="14147DD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Registrar de forma centralizada las solicitudes de derecho de acceso a la información pública que se reciben en las diferentes áreas, dependencias o servicios de la entidad.</w:t>
      </w:r>
    </w:p>
    <w:p w14:paraId="712BB92D"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Dispone la entidad de alguna resolución, instrucción o circular interna que regule la tramitación de las respuestas a las solicitudes de acceso a la información pública.</w:t>
      </w:r>
    </w:p>
    <w:p w14:paraId="356BF606" w14:textId="77777777" w:rsidR="00EC6368" w:rsidRPr="008D7FFD" w:rsidRDefault="00EC6368">
      <w:pPr>
        <w:autoSpaceDE w:val="0"/>
        <w:jc w:val="both"/>
        <w:rPr>
          <w:rFonts w:asciiTheme="minorHAnsi" w:hAnsiTheme="minorHAnsi" w:cstheme="minorHAnsi"/>
          <w:color w:val="000000"/>
          <w:sz w:val="22"/>
          <w:szCs w:val="22"/>
        </w:rPr>
      </w:pPr>
    </w:p>
    <w:p w14:paraId="09CA15A1"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Actualmente en la entidad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existe en su portal de transparencia un modelo genérico que los ciudadanos pueden utilizar para solicitar el acceso a la información pública. Asimismo, se indica el enlace para que los ciudadanos puedan interponer reclamaciones en materia de transparencia ante el Comisionado de Transparencia de Canarias. En el caso de que se rechacen solicitudes de acceso a la información pública se prevé en el portal de transparencia un apartado que recoja las resoluciones denegatorias. </w:t>
      </w:r>
    </w:p>
    <w:p w14:paraId="28AC85F9" w14:textId="77777777" w:rsidR="00EC6368" w:rsidRPr="008D7FFD" w:rsidRDefault="00EC6368">
      <w:pPr>
        <w:autoSpaceDE w:val="0"/>
        <w:jc w:val="both"/>
        <w:rPr>
          <w:rFonts w:asciiTheme="minorHAnsi" w:hAnsiTheme="minorHAnsi" w:cstheme="minorHAnsi"/>
          <w:color w:val="000000"/>
          <w:sz w:val="22"/>
          <w:szCs w:val="22"/>
        </w:rPr>
      </w:pPr>
    </w:p>
    <w:p w14:paraId="452C9A74" w14:textId="0D233CF8" w:rsidR="00EC6368" w:rsidRPr="0052114C" w:rsidRDefault="0052114C">
      <w:pPr>
        <w:autoSpaceDE w:val="0"/>
        <w:jc w:val="center"/>
        <w:rPr>
          <w:rFonts w:asciiTheme="minorHAnsi" w:hAnsiTheme="minorHAnsi" w:cstheme="minorHAnsi"/>
          <w:b/>
          <w:bCs/>
          <w:sz w:val="22"/>
          <w:szCs w:val="22"/>
        </w:rPr>
      </w:pPr>
      <w:r w:rsidRPr="0052114C">
        <w:rPr>
          <w:rFonts w:asciiTheme="minorHAnsi" w:hAnsiTheme="minorHAnsi" w:cstheme="minorHAnsi"/>
          <w:b/>
          <w:bCs/>
          <w:sz w:val="22"/>
          <w:szCs w:val="22"/>
        </w:rPr>
        <w:t>La</w:t>
      </w:r>
      <w:r w:rsidR="00130DBE" w:rsidRPr="0052114C">
        <w:rPr>
          <w:rFonts w:asciiTheme="minorHAnsi" w:hAnsiTheme="minorHAnsi" w:cstheme="minorHAnsi"/>
          <w:b/>
          <w:bCs/>
          <w:sz w:val="22"/>
          <w:szCs w:val="22"/>
        </w:rPr>
        <w:t xml:space="preserve"> Gerente de </w:t>
      </w:r>
      <w:r w:rsidRPr="0052114C">
        <w:rPr>
          <w:rFonts w:asciiTheme="minorHAnsi" w:hAnsiTheme="minorHAnsi" w:cstheme="minorHAnsi"/>
          <w:b/>
          <w:bCs/>
          <w:sz w:val="22"/>
          <w:szCs w:val="22"/>
        </w:rPr>
        <w:t>Promoción de la ciudad de Las Palmas de Gran Canaria, S.A.</w:t>
      </w:r>
    </w:p>
    <w:p w14:paraId="70999764" w14:textId="77777777" w:rsidR="00FB7841" w:rsidRPr="0052114C" w:rsidRDefault="00FB7841">
      <w:pPr>
        <w:autoSpaceDE w:val="0"/>
        <w:jc w:val="center"/>
        <w:rPr>
          <w:rFonts w:asciiTheme="minorHAnsi" w:hAnsiTheme="minorHAnsi" w:cstheme="minorHAnsi"/>
          <w:b/>
          <w:bCs/>
          <w:sz w:val="22"/>
          <w:szCs w:val="22"/>
        </w:rPr>
      </w:pPr>
    </w:p>
    <w:p w14:paraId="6DB2F151" w14:textId="77777777" w:rsidR="00EC6368" w:rsidRPr="0052114C" w:rsidRDefault="00EC6368">
      <w:pPr>
        <w:jc w:val="both"/>
        <w:rPr>
          <w:rFonts w:asciiTheme="minorHAnsi" w:hAnsiTheme="minorHAnsi" w:cstheme="minorHAnsi"/>
          <w:b/>
          <w:bCs/>
          <w:sz w:val="22"/>
          <w:szCs w:val="22"/>
        </w:rPr>
      </w:pPr>
    </w:p>
    <w:p w14:paraId="13D857CF" w14:textId="5370705C" w:rsidR="0052114C" w:rsidRPr="0052114C" w:rsidRDefault="0052114C" w:rsidP="0052114C">
      <w:pPr>
        <w:jc w:val="center"/>
        <w:rPr>
          <w:rFonts w:asciiTheme="minorHAnsi" w:hAnsiTheme="minorHAnsi" w:cstheme="minorHAnsi"/>
          <w:b/>
          <w:bCs/>
          <w:sz w:val="22"/>
          <w:szCs w:val="22"/>
        </w:rPr>
      </w:pPr>
      <w:r w:rsidRPr="0052114C">
        <w:rPr>
          <w:rFonts w:asciiTheme="minorHAnsi" w:hAnsiTheme="minorHAnsi" w:cstheme="minorHAnsi"/>
          <w:b/>
          <w:bCs/>
          <w:sz w:val="22"/>
          <w:szCs w:val="22"/>
        </w:rPr>
        <w:t>María Elena Rodríguez Henríquez</w:t>
      </w:r>
    </w:p>
    <w:p w14:paraId="04E0A46B" w14:textId="77777777" w:rsidR="00EC6368" w:rsidRPr="0052114C" w:rsidRDefault="00EC6368">
      <w:pPr>
        <w:jc w:val="both"/>
        <w:rPr>
          <w:rFonts w:asciiTheme="minorHAnsi" w:hAnsiTheme="minorHAnsi" w:cstheme="minorHAnsi"/>
          <w:b/>
          <w:bCs/>
          <w:sz w:val="22"/>
          <w:szCs w:val="22"/>
          <w:u w:val="single"/>
        </w:rPr>
      </w:pPr>
    </w:p>
    <w:p w14:paraId="3910573E" w14:textId="77777777" w:rsidR="00EC6368" w:rsidRPr="008D7FFD" w:rsidRDefault="00EC6368">
      <w:pPr>
        <w:pStyle w:val="Prrafodelista"/>
        <w:jc w:val="both"/>
        <w:rPr>
          <w:rFonts w:asciiTheme="minorHAnsi" w:hAnsiTheme="minorHAnsi" w:cstheme="minorHAnsi"/>
          <w:sz w:val="22"/>
          <w:szCs w:val="22"/>
        </w:rPr>
      </w:pPr>
    </w:p>
    <w:sectPr w:rsidR="00EC6368" w:rsidRPr="008D7FFD">
      <w:headerReference w:type="default" r:id="rId7"/>
      <w:footerReference w:type="default" r:id="rId8"/>
      <w:pgSz w:w="11900" w:h="16840"/>
      <w:pgMar w:top="1417" w:right="1701" w:bottom="1417" w:left="170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799E" w14:textId="77777777" w:rsidR="0099048E" w:rsidRDefault="0099048E">
      <w:r>
        <w:separator/>
      </w:r>
    </w:p>
  </w:endnote>
  <w:endnote w:type="continuationSeparator" w:id="0">
    <w:p w14:paraId="56F975E0" w14:textId="77777777" w:rsidR="0099048E" w:rsidRDefault="0099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E3B" w14:textId="77777777" w:rsidR="00874AF9" w:rsidRDefault="00130DBE">
    <w:pPr>
      <w:pStyle w:val="Piedepgina"/>
    </w:pPr>
    <w:r>
      <w:rPr>
        <w:noProof/>
        <w:lang w:val="es-ES" w:eastAsia="es-ES"/>
      </w:rPr>
      <w:drawing>
        <wp:inline distT="0" distB="0" distL="0" distR="0" wp14:anchorId="0944C9B0" wp14:editId="2EFA0A07">
          <wp:extent cx="4924428" cy="238128"/>
          <wp:effectExtent l="0" t="0" r="9522" b="9522"/>
          <wp:docPr id="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924428" cy="23812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C3BC" w14:textId="77777777" w:rsidR="0099048E" w:rsidRDefault="0099048E">
      <w:r>
        <w:rPr>
          <w:color w:val="000000"/>
        </w:rPr>
        <w:separator/>
      </w:r>
    </w:p>
  </w:footnote>
  <w:footnote w:type="continuationSeparator" w:id="0">
    <w:p w14:paraId="5A8C0DCD" w14:textId="77777777" w:rsidR="0099048E" w:rsidRDefault="0099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E3F3" w14:textId="77777777" w:rsidR="00874AF9" w:rsidRDefault="00130DBE">
    <w:pPr>
      <w:pStyle w:val="Encabezado"/>
    </w:pPr>
    <w:r>
      <w:rPr>
        <w:noProof/>
        <w:lang w:eastAsia="es"/>
      </w:rPr>
      <mc:AlternateContent>
        <mc:Choice Requires="wps">
          <w:drawing>
            <wp:anchor distT="0" distB="0" distL="114300" distR="114300" simplePos="0" relativeHeight="251659264" behindDoc="0" locked="0" layoutInCell="1" allowOverlap="1" wp14:anchorId="09FE2D2A" wp14:editId="77176657">
              <wp:simplePos x="0" y="0"/>
              <wp:positionH relativeFrom="column">
                <wp:posOffset>-799469</wp:posOffset>
              </wp:positionH>
              <wp:positionV relativeFrom="page">
                <wp:posOffset>3890013</wp:posOffset>
              </wp:positionV>
              <wp:extent cx="233684" cy="2743200"/>
              <wp:effectExtent l="0" t="0" r="0" b="0"/>
              <wp:wrapSquare wrapText="bothSides"/>
              <wp:docPr id="2" name="Cuadro de texto 5"/>
              <wp:cNvGraphicFramePr/>
              <a:graphic xmlns:a="http://schemas.openxmlformats.org/drawingml/2006/main">
                <a:graphicData uri="http://schemas.microsoft.com/office/word/2010/wordprocessingShape">
                  <wps:wsp>
                    <wps:cNvSpPr txBox="1"/>
                    <wps:spPr>
                      <a:xfrm>
                        <a:off x="0" y="0"/>
                        <a:ext cx="233684" cy="2743200"/>
                      </a:xfrm>
                      <a:prstGeom prst="rect">
                        <a:avLst/>
                      </a:prstGeom>
                      <a:noFill/>
                      <a:ln>
                        <a:noFill/>
                        <a:prstDash/>
                      </a:ln>
                    </wps:spPr>
                    <wps:txbx>
                      <w:txbxContent>
                        <w:p w14:paraId="495F8503" w14:textId="77777777" w:rsidR="00874AF9"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09FE2D2A"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ADuwEAAGwDAAAOAAAAZHJzL2Uyb0RvYy54bWysU8GO0zAQvSPxD5bv1G0adpeo6QqoFiGt&#10;AKnwAa5jN5Zsj7HdJuXrGTulrZYb4uLMzBuP37yZrB5Ha8hRhqjBtXQxm1MinYBOu31Lf3x/evNA&#10;SUzcddyAky09yUgf169frQbfyAp6MJ0MBIu42Ay+pX1KvmEsil5aHmfgpUNQQbA8oRv2rAt8wOrW&#10;sGo+v2MDhM4HEDJGjG4mkK5LfaWkSF+VijIR01LklsoZyrnLJ1uveLMP3PdanGnwf2BhuXb46KXU&#10;hidODkH/VcpqESCCSjMBloFSWsjSA3azmL/oZttzL0svKE70F5ni/ysrvhy3/lsgafwAIw4wCzL4&#10;2EQM5n5GFWz+IlOCOEp4usgmx0QEBqvl8u6hpkQgVN3XS5xLLsOut32I6ZMES7LR0oBjKWrx43NM&#10;U+qflPyYgydtTBmNcS8COW/DYz/dyjC78s1WGncjgtncQXfC3nA98dEewi9KBhx1S+PPAw+SEvPZ&#10;oZbvFnWdd6M49dv7Cp1wi+xuEe4ElmppomQyP6Zpn3Cgnqdnt/UiSzTxfn9IoHTp8crozBlHWlQ6&#10;r1/emVu/ZF1/kvVvAAAA//8DAFBLAwQUAAYACAAAACEA6nEA/+AAAAANAQAADwAAAGRycy9kb3du&#10;cmV2LnhtbEyPQU+DQBCF7yb+h82YeKO7EEoKZWmMxqvGVk28bWEKpOwsYbcF/73jSY+T9+W9b8rd&#10;Ygdxxcn3jjTEKwUCqXZNT62G98NztAHhg6HGDI5Qwzd62FW3N6UpGjfTG173oRVcQr4wGroQxkJK&#10;X3dojV+5EYmzk5usCXxOrWwmM3O5HWSiVCat6YkXOjPiY4f1eX+xGj5eTl+fqXptn+x6nN2iJNlc&#10;an1/tzxsQQRcwh8Mv/qsDhU7Hd2FGi8GDVGcrHNmNWRxkoFgJNrkMYgjsypNM5BVKf9/Uf0AAAD/&#10;/wMAUEsBAi0AFAAGAAgAAAAhALaDOJL+AAAA4QEAABMAAAAAAAAAAAAAAAAAAAAAAFtDb250ZW50&#10;X1R5cGVzXS54bWxQSwECLQAUAAYACAAAACEAOP0h/9YAAACUAQAACwAAAAAAAAAAAAAAAAAvAQAA&#10;X3JlbHMvLnJlbHNQSwECLQAUAAYACAAAACEA/PHgA7sBAABsAwAADgAAAAAAAAAAAAAAAAAuAgAA&#10;ZHJzL2Uyb0RvYy54bWxQSwECLQAUAAYACAAAACEA6nEA/+AAAAANAQAADwAAAAAAAAAAAAAAAAAV&#10;BAAAZHJzL2Rvd25yZXYueG1sUEsFBgAAAAAEAAQA8wAAACIFAAAAAA==&#10;" filled="f" stroked="f">
              <v:textbox>
                <w:txbxContent>
                  <w:p w14:paraId="495F8503" w14:textId="77777777" w:rsidR="00874AF9"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v:textbox>
              <w10:wrap type="square" anchory="page"/>
            </v:shape>
          </w:pict>
        </mc:Fallback>
      </mc:AlternateContent>
    </w:r>
    <w:r>
      <w:rPr>
        <w:noProof/>
        <w:lang w:val="es-ES" w:eastAsia="es-ES"/>
      </w:rPr>
      <w:drawing>
        <wp:inline distT="0" distB="0" distL="0" distR="0" wp14:anchorId="57BE1FC0" wp14:editId="33D4E43D">
          <wp:extent cx="2619371" cy="904871"/>
          <wp:effectExtent l="0" t="0" r="0" b="0"/>
          <wp:docPr id="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619371" cy="904871"/>
                  </a:xfrm>
                  <a:prstGeom prst="rect">
                    <a:avLst/>
                  </a:prstGeom>
                  <a:noFill/>
                  <a:ln>
                    <a:noFill/>
                    <a:prstDash/>
                  </a:ln>
                </pic:spPr>
              </pic:pic>
            </a:graphicData>
          </a:graphic>
        </wp:inline>
      </w:drawing>
    </w:r>
    <w:r>
      <w:t xml:space="preserve">  </w:t>
    </w:r>
  </w:p>
  <w:p w14:paraId="11901E4C" w14:textId="77777777" w:rsidR="00874AF9" w:rsidRDefault="00874AF9">
    <w:pPr>
      <w:pStyle w:val="Encabezado"/>
    </w:pPr>
  </w:p>
  <w:p w14:paraId="60E70075" w14:textId="77777777" w:rsidR="00874AF9" w:rsidRDefault="00874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45E"/>
    <w:multiLevelType w:val="hybridMultilevel"/>
    <w:tmpl w:val="BB7898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0160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68"/>
    <w:rsid w:val="00002BFE"/>
    <w:rsid w:val="00041333"/>
    <w:rsid w:val="00094EB9"/>
    <w:rsid w:val="000A2BFE"/>
    <w:rsid w:val="000D15B1"/>
    <w:rsid w:val="00130DBE"/>
    <w:rsid w:val="002847C4"/>
    <w:rsid w:val="00286ABD"/>
    <w:rsid w:val="00414C2F"/>
    <w:rsid w:val="004A7108"/>
    <w:rsid w:val="0052114C"/>
    <w:rsid w:val="00644B81"/>
    <w:rsid w:val="006B4134"/>
    <w:rsid w:val="007500C7"/>
    <w:rsid w:val="0076096C"/>
    <w:rsid w:val="00792F7C"/>
    <w:rsid w:val="008574C0"/>
    <w:rsid w:val="00874AF9"/>
    <w:rsid w:val="00886404"/>
    <w:rsid w:val="008C6C8E"/>
    <w:rsid w:val="008D7FFD"/>
    <w:rsid w:val="0099048E"/>
    <w:rsid w:val="00A41B68"/>
    <w:rsid w:val="00A8220C"/>
    <w:rsid w:val="00B5208A"/>
    <w:rsid w:val="00B73EE3"/>
    <w:rsid w:val="00BE55B7"/>
    <w:rsid w:val="00DF7B69"/>
    <w:rsid w:val="00E414A9"/>
    <w:rsid w:val="00E94D0E"/>
    <w:rsid w:val="00EC46AB"/>
    <w:rsid w:val="00EC6368"/>
    <w:rsid w:val="00EE6654"/>
    <w:rsid w:val="00F60176"/>
    <w:rsid w:val="00FA7191"/>
    <w:rsid w:val="00FB7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32DE"/>
  <w15:docId w15:val="{89FC740D-1E8F-453D-8735-86BE34A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08"/>
    <w:pPr>
      <w:suppressAutoHyphens/>
    </w:pPr>
    <w:rPr>
      <w:sz w:val="24"/>
      <w:szCs w:val="24"/>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 w:type="paragraph" w:customStyle="1" w:styleId="Estilo1">
    <w:name w:val="Estilo1"/>
    <w:basedOn w:val="Normal"/>
  </w:style>
  <w:style w:type="paragraph" w:styleId="Prrafodelista">
    <w:name w:val="List Paragraph"/>
    <w:basedOn w:val="Normal"/>
    <w:pPr>
      <w:ind w:left="720"/>
    </w:p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lang w:eastAsia="en-US"/>
    </w:rPr>
  </w:style>
  <w:style w:type="paragraph" w:styleId="Revisin">
    <w:name w:val="Revision"/>
    <w:hidden/>
    <w:uiPriority w:val="99"/>
    <w:semiHidden/>
    <w:rsid w:val="00A41B68"/>
    <w:pPr>
      <w:autoSpaceDN/>
      <w:textAlignment w:val="auto"/>
    </w:pPr>
    <w:rPr>
      <w:sz w:val="24"/>
      <w:szCs w:val="24"/>
      <w:lang w:val="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930">
      <w:bodyDiv w:val="1"/>
      <w:marLeft w:val="0"/>
      <w:marRight w:val="0"/>
      <w:marTop w:val="0"/>
      <w:marBottom w:val="0"/>
      <w:divBdr>
        <w:top w:val="none" w:sz="0" w:space="0" w:color="auto"/>
        <w:left w:val="none" w:sz="0" w:space="0" w:color="auto"/>
        <w:bottom w:val="none" w:sz="0" w:space="0" w:color="auto"/>
        <w:right w:val="none" w:sz="0" w:space="0" w:color="auto"/>
      </w:divBdr>
    </w:div>
    <w:div w:id="919293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2221</Words>
  <Characters>12221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Angeles</cp:lastModifiedBy>
  <cp:revision>5</cp:revision>
  <cp:lastPrinted>2021-06-22T12:26:00Z</cp:lastPrinted>
  <dcterms:created xsi:type="dcterms:W3CDTF">2025-04-01T11:05:00Z</dcterms:created>
  <dcterms:modified xsi:type="dcterms:W3CDTF">2026-04-09T08:15:00Z</dcterms:modified>
</cp:coreProperties>
</file>