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67" w:rsidRPr="00015461" w:rsidRDefault="006C0067" w:rsidP="007B50AC">
      <w:pPr>
        <w:shd w:val="clear" w:color="auto" w:fill="FFFFFF"/>
        <w:tabs>
          <w:tab w:val="left" w:pos="851"/>
          <w:tab w:val="left" w:pos="993"/>
        </w:tabs>
        <w:spacing w:before="360"/>
        <w:ind w:right="14" w:firstLine="708"/>
        <w:jc w:val="both"/>
        <w:rPr>
          <w:rFonts w:ascii="Times New Roman" w:hAnsi="Times New Roman" w:cs="Times New Roman"/>
          <w:spacing w:val="-2"/>
          <w:sz w:val="22"/>
          <w:szCs w:val="22"/>
          <w:lang w:val="es-ES_tradnl" w:eastAsia="es-ES_tradnl"/>
        </w:rPr>
      </w:pPr>
      <w:r w:rsidRPr="00015461">
        <w:rPr>
          <w:rFonts w:ascii="Times New Roman" w:hAnsi="Times New Roman" w:cs="Times New Roman"/>
          <w:b/>
          <w:bCs/>
          <w:spacing w:val="-4"/>
          <w:sz w:val="22"/>
          <w:szCs w:val="22"/>
          <w:lang w:val="es-ES_tradnl" w:eastAsia="es-ES_tradnl"/>
        </w:rPr>
        <w:t xml:space="preserve">1. </w:t>
      </w:r>
      <w:r w:rsidRPr="00015461">
        <w:rPr>
          <w:rFonts w:ascii="Times New Roman" w:hAnsi="Times New Roman" w:cs="Times New Roman"/>
          <w:b/>
          <w:bCs/>
          <w:spacing w:val="-4"/>
          <w:sz w:val="22"/>
          <w:szCs w:val="22"/>
          <w:u w:val="double"/>
          <w:lang w:val="es-ES_tradnl" w:eastAsia="es-ES_tradnl"/>
        </w:rPr>
        <w:t>ACTIVIDAD DE LA EMPRESA</w:t>
      </w:r>
    </w:p>
    <w:p w:rsidR="006C0067" w:rsidRDefault="006C0067" w:rsidP="006C0067">
      <w:pPr>
        <w:shd w:val="clear" w:color="auto" w:fill="FFFFFF"/>
        <w:spacing w:before="360"/>
        <w:ind w:left="720" w:right="14"/>
        <w:jc w:val="both"/>
        <w:rPr>
          <w:rFonts w:ascii="Times New Roman" w:hAnsi="Times New Roman" w:cs="Times New Roman"/>
          <w:spacing w:val="-3"/>
          <w:sz w:val="22"/>
          <w:szCs w:val="22"/>
          <w:lang w:val="es-ES_tradnl" w:eastAsia="es-ES_tradnl"/>
        </w:rPr>
      </w:pPr>
      <w:r w:rsidRPr="00015461">
        <w:rPr>
          <w:rFonts w:ascii="Times New Roman" w:hAnsi="Times New Roman" w:cs="Times New Roman"/>
          <w:spacing w:val="-2"/>
          <w:sz w:val="22"/>
          <w:szCs w:val="22"/>
          <w:lang w:val="es-ES_tradnl" w:eastAsia="es-ES_tradnl"/>
        </w:rPr>
        <w:t xml:space="preserve">Con fecha 14 de noviembre de 1990 y ante el Notario de Las Palmas Don Alfonso Zapata </w:t>
      </w:r>
      <w:proofErr w:type="spellStart"/>
      <w:r w:rsidRPr="00015461">
        <w:rPr>
          <w:rFonts w:ascii="Times New Roman" w:hAnsi="Times New Roman" w:cs="Times New Roman"/>
          <w:spacing w:val="-2"/>
          <w:sz w:val="22"/>
          <w:szCs w:val="22"/>
          <w:lang w:val="es-ES_tradnl" w:eastAsia="es-ES_tradnl"/>
        </w:rPr>
        <w:t>Zapata</w:t>
      </w:r>
      <w:proofErr w:type="spellEnd"/>
      <w:r w:rsidRPr="00015461">
        <w:rPr>
          <w:rFonts w:ascii="Times New Roman" w:hAnsi="Times New Roman" w:cs="Times New Roman"/>
          <w:spacing w:val="-2"/>
          <w:sz w:val="22"/>
          <w:szCs w:val="22"/>
          <w:lang w:val="es-ES_tradnl" w:eastAsia="es-ES_tradnl"/>
        </w:rPr>
        <w:t xml:space="preserve">, se constituye la Sociedad Anónima Municipal bajo la denominación inicial de FIESTAS </w:t>
      </w:r>
      <w:r w:rsidRPr="00015461">
        <w:rPr>
          <w:rFonts w:ascii="Times New Roman" w:hAnsi="Times New Roman" w:cs="Times New Roman"/>
          <w:sz w:val="22"/>
          <w:szCs w:val="22"/>
          <w:lang w:val="es-ES_tradnl" w:eastAsia="es-ES_tradnl"/>
        </w:rPr>
        <w:t xml:space="preserve">DEL CARNAVAL DE LAS PALMAS, S.A., cambiando a su actual denominación de </w:t>
      </w:r>
      <w:r w:rsidRPr="00015461">
        <w:rPr>
          <w:rFonts w:ascii="Times New Roman" w:hAnsi="Times New Roman" w:cs="Times New Roman"/>
          <w:spacing w:val="-2"/>
          <w:sz w:val="22"/>
          <w:szCs w:val="22"/>
          <w:lang w:val="es-ES_tradnl" w:eastAsia="es-ES_tradnl"/>
        </w:rPr>
        <w:t xml:space="preserve">PROMOCIÓN DE LA CIUDAD DE LAS PALMAS DE GRAN CANARIA, S.A. en escritura </w:t>
      </w:r>
      <w:r w:rsidRPr="00015461">
        <w:rPr>
          <w:rFonts w:ascii="Times New Roman" w:hAnsi="Times New Roman" w:cs="Times New Roman"/>
          <w:sz w:val="22"/>
          <w:szCs w:val="22"/>
          <w:lang w:val="es-ES_tradnl" w:eastAsia="es-ES_tradnl"/>
        </w:rPr>
        <w:t xml:space="preserve">pública formalizada el 18 de mayo de 2000 ante el Notario de Las Palmas Don Juan Alfonso </w:t>
      </w:r>
      <w:r w:rsidRPr="00015461">
        <w:rPr>
          <w:rFonts w:ascii="Times New Roman" w:hAnsi="Times New Roman" w:cs="Times New Roman"/>
          <w:spacing w:val="-1"/>
          <w:sz w:val="22"/>
          <w:szCs w:val="22"/>
          <w:lang w:val="es-ES_tradnl" w:eastAsia="es-ES_tradnl"/>
        </w:rPr>
        <w:t xml:space="preserve">Cabello Cascajo bajo el número de 3825 de su protocolo, íntegramente participada desde su </w:t>
      </w:r>
      <w:r w:rsidRPr="00015461">
        <w:rPr>
          <w:rFonts w:ascii="Times New Roman" w:hAnsi="Times New Roman" w:cs="Times New Roman"/>
          <w:spacing w:val="-3"/>
          <w:sz w:val="22"/>
          <w:szCs w:val="22"/>
          <w:lang w:val="es-ES_tradnl" w:eastAsia="es-ES_tradnl"/>
        </w:rPr>
        <w:t>constitución por el Excmo. Ayuntamiento de Las Palmas de Gran Canaria.</w:t>
      </w:r>
      <w:r w:rsidR="008A3FE9" w:rsidRPr="008A3FE9">
        <w:rPr>
          <w:rFonts w:ascii="Times New Roman" w:hAnsi="Times New Roman" w:cs="Times New Roman"/>
          <w:spacing w:val="-2"/>
          <w:sz w:val="22"/>
          <w:szCs w:val="22"/>
          <w:lang w:val="es-ES_tradnl" w:eastAsia="es-ES_tradnl"/>
        </w:rPr>
        <w:t xml:space="preserve"> La inscripción de la sociedad se produjo en el Registro Mercantil de Las Palmas y su CIF es </w:t>
      </w:r>
      <w:r w:rsidR="008A3FE9">
        <w:rPr>
          <w:rFonts w:ascii="Times New Roman" w:hAnsi="Times New Roman" w:cs="Times New Roman"/>
          <w:spacing w:val="-2"/>
          <w:sz w:val="22"/>
          <w:szCs w:val="22"/>
          <w:lang w:val="es-ES_tradnl" w:eastAsia="es-ES_tradnl"/>
        </w:rPr>
        <w:t>A35250737.</w:t>
      </w:r>
    </w:p>
    <w:p w:rsidR="008A3FE9" w:rsidRPr="00015461" w:rsidRDefault="008A3FE9" w:rsidP="006C0067">
      <w:pPr>
        <w:shd w:val="clear" w:color="auto" w:fill="FFFFFF"/>
        <w:spacing w:before="360"/>
        <w:ind w:left="720" w:right="14"/>
        <w:jc w:val="both"/>
        <w:rPr>
          <w:rFonts w:ascii="Times New Roman" w:hAnsi="Times New Roman" w:cs="Times New Roman"/>
          <w:sz w:val="22"/>
          <w:szCs w:val="22"/>
        </w:rPr>
      </w:pPr>
      <w:r w:rsidRPr="008A3FE9">
        <w:rPr>
          <w:rFonts w:ascii="Times New Roman" w:hAnsi="Times New Roman" w:cs="Times New Roman"/>
          <w:spacing w:val="-2"/>
          <w:sz w:val="22"/>
          <w:szCs w:val="22"/>
          <w:lang w:val="es-ES_tradnl" w:eastAsia="es-ES_tradnl"/>
        </w:rPr>
        <w:t xml:space="preserve">El domicilio social de la sociedad está situado en la calle León y Castillo número 270, segunda planta, </w:t>
      </w:r>
      <w:proofErr w:type="spellStart"/>
      <w:r w:rsidRPr="008A3FE9">
        <w:rPr>
          <w:rFonts w:ascii="Times New Roman" w:hAnsi="Times New Roman" w:cs="Times New Roman"/>
          <w:spacing w:val="-2"/>
          <w:sz w:val="22"/>
          <w:szCs w:val="22"/>
          <w:lang w:val="es-ES_tradnl" w:eastAsia="es-ES_tradnl"/>
        </w:rPr>
        <w:t>có</w:t>
      </w:r>
      <w:proofErr w:type="spellEnd"/>
      <w:r w:rsidRPr="008A3FE9">
        <w:rPr>
          <w:rFonts w:ascii="Times New Roman" w:hAnsi="Times New Roman" w:cs="Times New Roman"/>
          <w:spacing w:val="-2"/>
          <w:sz w:val="22"/>
          <w:szCs w:val="22"/>
          <w:lang w:val="es-ES_tradnl" w:eastAsia="es-ES_tradnl"/>
        </w:rPr>
        <w:t xml:space="preserve">- digo postal 35005, de Las Palmas de Gran Canaria (Oficinas Municipales). Siendo el domicilio donde están situadas las oficinas principales de la </w:t>
      </w:r>
      <w:r>
        <w:rPr>
          <w:rFonts w:ascii="Times New Roman" w:hAnsi="Times New Roman" w:cs="Times New Roman"/>
          <w:spacing w:val="-2"/>
          <w:sz w:val="22"/>
          <w:szCs w:val="22"/>
          <w:lang w:val="es-ES_tradnl" w:eastAsia="es-ES_tradnl"/>
        </w:rPr>
        <w:t>entidad, en e</w:t>
      </w:r>
      <w:r w:rsidRPr="001F6884">
        <w:rPr>
          <w:rFonts w:ascii="Times New Roman" w:hAnsi="Times New Roman" w:cs="Times New Roman"/>
          <w:spacing w:val="-2"/>
          <w:sz w:val="22"/>
          <w:szCs w:val="22"/>
          <w:lang w:val="es-ES_tradnl" w:eastAsia="es-ES_tradnl"/>
        </w:rPr>
        <w:t xml:space="preserve">l Palacete Rodríguez </w:t>
      </w:r>
      <w:proofErr w:type="spellStart"/>
      <w:r w:rsidRPr="001F6884">
        <w:rPr>
          <w:rFonts w:ascii="Times New Roman" w:hAnsi="Times New Roman" w:cs="Times New Roman"/>
          <w:spacing w:val="-2"/>
          <w:sz w:val="22"/>
          <w:szCs w:val="22"/>
          <w:lang w:val="es-ES_tradnl" w:eastAsia="es-ES_tradnl"/>
        </w:rPr>
        <w:t>Quegles</w:t>
      </w:r>
      <w:proofErr w:type="spellEnd"/>
      <w:r>
        <w:rPr>
          <w:rFonts w:ascii="Times New Roman" w:hAnsi="Times New Roman" w:cs="Times New Roman"/>
          <w:spacing w:val="-2"/>
          <w:sz w:val="22"/>
          <w:szCs w:val="22"/>
          <w:lang w:val="es-ES_tradnl" w:eastAsia="es-ES_tradnl"/>
        </w:rPr>
        <w:t>,</w:t>
      </w:r>
      <w:r w:rsidRPr="001F6884">
        <w:rPr>
          <w:rFonts w:ascii="Times New Roman" w:hAnsi="Times New Roman" w:cs="Times New Roman"/>
          <w:spacing w:val="-2"/>
          <w:sz w:val="22"/>
          <w:szCs w:val="22"/>
          <w:lang w:val="es-ES_tradnl" w:eastAsia="es-ES_tradnl"/>
        </w:rPr>
        <w:t xml:space="preserve"> sito en la calle </w:t>
      </w:r>
      <w:r w:rsidR="009238CC">
        <w:rPr>
          <w:rFonts w:ascii="Times New Roman" w:hAnsi="Times New Roman" w:cs="Times New Roman"/>
          <w:spacing w:val="-2"/>
          <w:sz w:val="22"/>
          <w:szCs w:val="22"/>
          <w:lang w:val="es-ES_tradnl" w:eastAsia="es-ES_tradnl"/>
        </w:rPr>
        <w:t xml:space="preserve">Escritor Benito </w:t>
      </w:r>
      <w:r w:rsidRPr="001F6884">
        <w:rPr>
          <w:rFonts w:ascii="Times New Roman" w:hAnsi="Times New Roman" w:cs="Times New Roman"/>
          <w:spacing w:val="-2"/>
          <w:sz w:val="22"/>
          <w:szCs w:val="22"/>
          <w:lang w:val="es-ES_tradnl" w:eastAsia="es-ES_tradnl"/>
        </w:rPr>
        <w:t xml:space="preserve">Pérez </w:t>
      </w:r>
      <w:proofErr w:type="spellStart"/>
      <w:r w:rsidRPr="001F6884">
        <w:rPr>
          <w:rFonts w:ascii="Times New Roman" w:hAnsi="Times New Roman" w:cs="Times New Roman"/>
          <w:spacing w:val="-2"/>
          <w:sz w:val="22"/>
          <w:szCs w:val="22"/>
          <w:lang w:val="es-ES_tradnl" w:eastAsia="es-ES_tradnl"/>
        </w:rPr>
        <w:t>Galdos</w:t>
      </w:r>
      <w:proofErr w:type="spellEnd"/>
      <w:r w:rsidRPr="001F6884">
        <w:rPr>
          <w:rFonts w:ascii="Times New Roman" w:hAnsi="Times New Roman" w:cs="Times New Roman"/>
          <w:spacing w:val="-2"/>
          <w:sz w:val="22"/>
          <w:szCs w:val="22"/>
          <w:lang w:val="es-ES_tradnl" w:eastAsia="es-ES_tradnl"/>
        </w:rPr>
        <w:t>, nº 4, de Las Palmas de Gran Canari</w:t>
      </w:r>
      <w:r>
        <w:rPr>
          <w:rFonts w:ascii="Times New Roman" w:hAnsi="Times New Roman" w:cs="Times New Roman"/>
          <w:spacing w:val="-2"/>
          <w:sz w:val="22"/>
          <w:szCs w:val="22"/>
          <w:lang w:val="es-ES_tradnl" w:eastAsia="es-ES_tradnl"/>
        </w:rPr>
        <w:t>a</w:t>
      </w:r>
      <w:r w:rsidRPr="008A3FE9">
        <w:rPr>
          <w:rFonts w:ascii="Times New Roman" w:hAnsi="Times New Roman" w:cs="Times New Roman"/>
          <w:spacing w:val="-2"/>
          <w:sz w:val="22"/>
          <w:szCs w:val="22"/>
          <w:lang w:val="es-ES_tradnl" w:eastAsia="es-ES_tradnl"/>
        </w:rPr>
        <w:t>.</w:t>
      </w:r>
    </w:p>
    <w:p w:rsidR="006C0067" w:rsidRPr="00015461" w:rsidRDefault="006C0067" w:rsidP="006C0067">
      <w:pPr>
        <w:shd w:val="clear" w:color="auto" w:fill="FFFFFF"/>
        <w:spacing w:before="240"/>
        <w:ind w:firstLine="708"/>
        <w:jc w:val="both"/>
        <w:rPr>
          <w:rFonts w:ascii="Times New Roman" w:hAnsi="Times New Roman" w:cs="Times New Roman"/>
          <w:spacing w:val="-2"/>
          <w:sz w:val="22"/>
          <w:szCs w:val="22"/>
          <w:lang w:val="es-ES_tradnl" w:eastAsia="es-ES_tradnl"/>
        </w:rPr>
      </w:pPr>
      <w:r w:rsidRPr="00015461">
        <w:rPr>
          <w:rFonts w:ascii="Times New Roman" w:hAnsi="Times New Roman" w:cs="Times New Roman"/>
          <w:spacing w:val="-2"/>
          <w:sz w:val="22"/>
          <w:szCs w:val="22"/>
          <w:lang w:val="es-ES_tradnl" w:eastAsia="es-ES_tradnl"/>
        </w:rPr>
        <w:t xml:space="preserve">La Sociedad tiene por objeto:    </w:t>
      </w:r>
    </w:p>
    <w:p w:rsidR="006C0067" w:rsidRPr="00015461" w:rsidRDefault="006C0067" w:rsidP="006C0067">
      <w:pPr>
        <w:shd w:val="clear" w:color="auto" w:fill="FFFFFF"/>
        <w:ind w:left="720" w:firstLine="720"/>
        <w:jc w:val="both"/>
        <w:rPr>
          <w:rFonts w:ascii="Times New Roman" w:hAnsi="Times New Roman" w:cs="Times New Roman"/>
          <w:spacing w:val="-2"/>
          <w:sz w:val="22"/>
          <w:szCs w:val="22"/>
          <w:lang w:val="es-ES_tradnl" w:eastAsia="es-ES_tradnl"/>
        </w:rPr>
      </w:pPr>
      <w:r w:rsidRPr="00015461">
        <w:rPr>
          <w:rFonts w:ascii="Times New Roman" w:hAnsi="Times New Roman" w:cs="Times New Roman"/>
          <w:spacing w:val="-2"/>
          <w:sz w:val="22"/>
          <w:szCs w:val="22"/>
          <w:lang w:val="es-ES_tradnl" w:eastAsia="es-ES_tradnl"/>
        </w:rPr>
        <w:t xml:space="preserve">                                                                                                          </w:t>
      </w:r>
    </w:p>
    <w:p w:rsidR="006C0067" w:rsidRDefault="006C0067" w:rsidP="006C0067">
      <w:pPr>
        <w:shd w:val="clear" w:color="auto" w:fill="FFFFFF"/>
        <w:ind w:left="720" w:right="29"/>
        <w:jc w:val="both"/>
        <w:rPr>
          <w:rFonts w:ascii="Times New Roman" w:hAnsi="Times New Roman" w:cs="Times New Roman"/>
          <w:sz w:val="22"/>
          <w:szCs w:val="22"/>
          <w:lang w:val="es-ES_tradnl" w:eastAsia="es-ES_tradnl"/>
        </w:rPr>
      </w:pPr>
      <w:r w:rsidRPr="00015461">
        <w:rPr>
          <w:rFonts w:ascii="Times New Roman" w:hAnsi="Times New Roman" w:cs="Times New Roman"/>
          <w:spacing w:val="-2"/>
          <w:sz w:val="22"/>
          <w:szCs w:val="22"/>
          <w:lang w:val="es-ES_tradnl" w:eastAsia="es-ES_tradnl"/>
        </w:rPr>
        <w:t xml:space="preserve">La promoción de la ciudad de Las Palmas de Gran Canaria en la producción, gestión, y </w:t>
      </w:r>
      <w:r w:rsidRPr="00015461">
        <w:rPr>
          <w:rFonts w:ascii="Times New Roman" w:hAnsi="Times New Roman" w:cs="Times New Roman"/>
          <w:sz w:val="22"/>
          <w:szCs w:val="22"/>
          <w:lang w:val="es-ES_tradnl" w:eastAsia="es-ES_tradnl"/>
        </w:rPr>
        <w:t xml:space="preserve">difusión de actividades culturales, turísticas y de carnaval; así como la comercialización de aquellos productos </w:t>
      </w:r>
      <w:r w:rsidR="00250407" w:rsidRPr="00015461">
        <w:rPr>
          <w:rFonts w:ascii="Times New Roman" w:hAnsi="Times New Roman" w:cs="Times New Roman"/>
          <w:sz w:val="22"/>
          <w:szCs w:val="22"/>
          <w:lang w:val="es-ES_tradnl" w:eastAsia="es-ES_tradnl"/>
        </w:rPr>
        <w:t>o</w:t>
      </w:r>
      <w:r w:rsidRPr="00015461">
        <w:rPr>
          <w:rFonts w:ascii="Times New Roman" w:hAnsi="Times New Roman" w:cs="Times New Roman"/>
          <w:sz w:val="22"/>
          <w:szCs w:val="22"/>
          <w:lang w:val="es-ES_tradnl" w:eastAsia="es-ES_tradnl"/>
        </w:rPr>
        <w:t xml:space="preserve"> servicios a que den lugar las actuaciones societarias.</w:t>
      </w:r>
    </w:p>
    <w:p w:rsidR="00BF116A" w:rsidRDefault="00BF116A" w:rsidP="006C0067">
      <w:pPr>
        <w:shd w:val="clear" w:color="auto" w:fill="FFFFFF"/>
        <w:ind w:left="720" w:right="29"/>
        <w:jc w:val="both"/>
        <w:rPr>
          <w:rFonts w:ascii="Times New Roman" w:hAnsi="Times New Roman" w:cs="Times New Roman"/>
          <w:sz w:val="22"/>
          <w:szCs w:val="22"/>
          <w:lang w:val="es-ES_tradnl" w:eastAsia="es-ES_tradnl"/>
        </w:rPr>
      </w:pPr>
    </w:p>
    <w:p w:rsidR="009238CC" w:rsidRPr="00601418"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r w:rsidRPr="00601418">
        <w:rPr>
          <w:rFonts w:ascii="Times New Roman" w:hAnsi="Times New Roman" w:cs="Times New Roman"/>
          <w:spacing w:val="-2"/>
          <w:sz w:val="22"/>
          <w:szCs w:val="22"/>
          <w:lang w:val="es-ES_tradnl" w:eastAsia="es-ES_tradnl"/>
        </w:rPr>
        <w:t>Dedicada a la gestión cultural, turística, de eventos y espacios culturales, Promoción de la Ciudad de Las Palmas de Gran Canaria funciona como productora que diseña, ejecuta, difunde y evalúa las citas y programas culturales que desarrollan las áreas de Cultura y Carnaval del Ayuntamiento.</w:t>
      </w:r>
    </w:p>
    <w:p w:rsidR="009238CC" w:rsidRPr="00601418"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p>
    <w:p w:rsidR="009238CC" w:rsidRPr="00601418"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r w:rsidRPr="00601418">
        <w:rPr>
          <w:rFonts w:ascii="Times New Roman" w:hAnsi="Times New Roman" w:cs="Times New Roman"/>
          <w:spacing w:val="-2"/>
          <w:sz w:val="22"/>
          <w:szCs w:val="22"/>
          <w:lang w:val="es-ES_tradnl" w:eastAsia="es-ES_tradnl"/>
        </w:rPr>
        <w:t>Las actividades relacionadas con el Carnaval, con las fiestas de Navidad, Fundacionales y con fechas emblemáticas relacionadas con la cultura recaen en esta sociedad que, además, organiza festivales como el Festival Internacional de Cine de Las Palmas de Gran Canaria o el Festival de Teatro Música y Danza TEMUDAS.</w:t>
      </w:r>
    </w:p>
    <w:p w:rsidR="009238CC" w:rsidRPr="00601418"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p>
    <w:p w:rsidR="009238CC" w:rsidRDefault="009238CC" w:rsidP="006C0067">
      <w:pPr>
        <w:shd w:val="clear" w:color="auto" w:fill="FFFFFF"/>
        <w:ind w:left="720" w:right="29"/>
        <w:jc w:val="both"/>
        <w:rPr>
          <w:rFonts w:ascii="Times New Roman" w:hAnsi="Times New Roman" w:cs="Times New Roman"/>
          <w:sz w:val="22"/>
          <w:szCs w:val="22"/>
          <w:lang w:val="es-ES_tradnl" w:eastAsia="es-ES_tradnl"/>
        </w:rPr>
      </w:pPr>
      <w:r w:rsidRPr="00601418">
        <w:rPr>
          <w:rFonts w:ascii="Times New Roman" w:hAnsi="Times New Roman" w:cs="Times New Roman"/>
          <w:spacing w:val="-2"/>
          <w:sz w:val="22"/>
          <w:szCs w:val="22"/>
          <w:lang w:val="es-ES_tradnl" w:eastAsia="es-ES_tradnl"/>
        </w:rPr>
        <w:t xml:space="preserve">Promoción de la Ciudad de Las Palmas de Gran Canaria gestiona también espacios culturales como el Museo Castillo de Mata o la red de Bibliotecas Públicas de Las Palmas de Gran Canaria, además del Palacete Rodríguez </w:t>
      </w:r>
      <w:proofErr w:type="spellStart"/>
      <w:r w:rsidRPr="00601418">
        <w:rPr>
          <w:rFonts w:ascii="Times New Roman" w:hAnsi="Times New Roman" w:cs="Times New Roman"/>
          <w:spacing w:val="-2"/>
          <w:sz w:val="22"/>
          <w:szCs w:val="22"/>
          <w:lang w:val="es-ES_tradnl" w:eastAsia="es-ES_tradnl"/>
        </w:rPr>
        <w:t>Quegles</w:t>
      </w:r>
      <w:proofErr w:type="spellEnd"/>
      <w:r w:rsidRPr="00601418">
        <w:rPr>
          <w:rFonts w:ascii="Times New Roman" w:hAnsi="Times New Roman" w:cs="Times New Roman"/>
          <w:spacing w:val="-2"/>
          <w:sz w:val="22"/>
          <w:szCs w:val="22"/>
          <w:lang w:val="es-ES_tradnl" w:eastAsia="es-ES_tradnl"/>
        </w:rPr>
        <w:t xml:space="preserve"> o el emblemático Edificio Miller, cada uno con su especial línea estratégica y conceptual.</w:t>
      </w:r>
    </w:p>
    <w:p w:rsidR="00BF116A" w:rsidRDefault="00BF116A" w:rsidP="006C0067">
      <w:pPr>
        <w:shd w:val="clear" w:color="auto" w:fill="FFFFFF"/>
        <w:ind w:left="720" w:right="29"/>
        <w:jc w:val="both"/>
        <w:rPr>
          <w:rFonts w:ascii="Times New Roman" w:hAnsi="Times New Roman" w:cs="Times New Roman"/>
          <w:sz w:val="22"/>
          <w:szCs w:val="22"/>
          <w:lang w:val="es-ES_tradnl" w:eastAsia="es-ES_tradnl"/>
        </w:rPr>
      </w:pPr>
    </w:p>
    <w:p w:rsidR="00250407" w:rsidRPr="00015461" w:rsidRDefault="00250407" w:rsidP="00250407">
      <w:pPr>
        <w:shd w:val="clear" w:color="auto" w:fill="FFFFFF"/>
        <w:ind w:left="720" w:right="29"/>
        <w:jc w:val="both"/>
        <w:rPr>
          <w:rFonts w:ascii="Times New Roman" w:hAnsi="Times New Roman" w:cs="Times New Roman"/>
          <w:sz w:val="22"/>
          <w:szCs w:val="22"/>
          <w:lang w:val="es-ES_tradnl" w:eastAsia="es-ES_tradnl"/>
        </w:rPr>
      </w:pPr>
      <w:r w:rsidRPr="00015461">
        <w:rPr>
          <w:rFonts w:ascii="Times New Roman" w:hAnsi="Times New Roman" w:cs="Times New Roman"/>
          <w:sz w:val="22"/>
          <w:szCs w:val="22"/>
          <w:lang w:val="es-ES_tradnl" w:eastAsia="es-ES_tradnl"/>
        </w:rPr>
        <w:t>A efectos de la Ley de Contratos del Sector Público, la Sociedad es considerada una entidad mercantil con poder adjudicador no administración pública (PANAP), que se cumple en base a que:</w:t>
      </w:r>
    </w:p>
    <w:p w:rsidR="00250407" w:rsidRPr="00015461" w:rsidRDefault="00250407" w:rsidP="00250407">
      <w:pPr>
        <w:shd w:val="clear" w:color="auto" w:fill="FFFFFF"/>
        <w:ind w:left="720" w:right="29"/>
        <w:jc w:val="both"/>
        <w:rPr>
          <w:rFonts w:ascii="Times New Roman" w:hAnsi="Times New Roman" w:cs="Times New Roman"/>
          <w:sz w:val="22"/>
          <w:szCs w:val="22"/>
          <w:lang w:val="es-ES_tradnl" w:eastAsia="es-ES_tradnl"/>
        </w:rPr>
      </w:pPr>
    </w:p>
    <w:p w:rsidR="00250407" w:rsidRPr="00015461" w:rsidRDefault="00250407" w:rsidP="00250407">
      <w:pPr>
        <w:shd w:val="clear" w:color="auto" w:fill="FFFFFF"/>
        <w:ind w:left="1418" w:right="29"/>
        <w:jc w:val="both"/>
        <w:rPr>
          <w:rFonts w:ascii="Times New Roman" w:hAnsi="Times New Roman" w:cs="Times New Roman"/>
          <w:sz w:val="22"/>
          <w:szCs w:val="22"/>
          <w:lang w:val="es-ES_tradnl" w:eastAsia="es-ES_tradnl"/>
        </w:rPr>
      </w:pPr>
      <w:r w:rsidRPr="00015461">
        <w:rPr>
          <w:rFonts w:ascii="Times New Roman" w:hAnsi="Times New Roman" w:cs="Times New Roman"/>
          <w:sz w:val="22"/>
          <w:szCs w:val="22"/>
          <w:lang w:val="es-ES_tradnl" w:eastAsia="es-ES_tradnl"/>
        </w:rPr>
        <w:t>1.º)  El Ayuntamiento de Las Palmas de Gran Can</w:t>
      </w:r>
      <w:r w:rsidR="001355BC" w:rsidRPr="00015461">
        <w:rPr>
          <w:rFonts w:ascii="Times New Roman" w:hAnsi="Times New Roman" w:cs="Times New Roman"/>
          <w:sz w:val="22"/>
          <w:szCs w:val="22"/>
          <w:lang w:val="es-ES_tradnl" w:eastAsia="es-ES_tradnl"/>
        </w:rPr>
        <w:t xml:space="preserve">aria ejerce el control directo </w:t>
      </w:r>
      <w:r w:rsidRPr="00015461">
        <w:rPr>
          <w:rFonts w:ascii="Times New Roman" w:hAnsi="Times New Roman" w:cs="Times New Roman"/>
          <w:sz w:val="22"/>
          <w:szCs w:val="22"/>
          <w:lang w:val="es-ES_tradnl" w:eastAsia="es-ES_tradnl"/>
        </w:rPr>
        <w:t>sobre la Socieda</w:t>
      </w:r>
      <w:r w:rsidR="001355BC" w:rsidRPr="00015461">
        <w:rPr>
          <w:rFonts w:ascii="Times New Roman" w:hAnsi="Times New Roman" w:cs="Times New Roman"/>
          <w:sz w:val="22"/>
          <w:szCs w:val="22"/>
          <w:lang w:val="es-ES_tradnl" w:eastAsia="es-ES_tradnl"/>
        </w:rPr>
        <w:t>d municipal</w:t>
      </w:r>
      <w:r w:rsidRPr="00015461">
        <w:rPr>
          <w:rFonts w:ascii="Times New Roman" w:hAnsi="Times New Roman" w:cs="Times New Roman"/>
          <w:sz w:val="22"/>
          <w:szCs w:val="22"/>
          <w:lang w:val="es-ES_tradnl" w:eastAsia="es-ES_tradnl"/>
        </w:rPr>
        <w:t xml:space="preserve"> de forma análoga al que se tiene sobre las unidades o servicios del Ayuntamiento y, dado que se posee el 100 % del capital, se ejerce una influenc</w:t>
      </w:r>
      <w:r w:rsidR="001355BC" w:rsidRPr="00015461">
        <w:rPr>
          <w:rFonts w:ascii="Times New Roman" w:hAnsi="Times New Roman" w:cs="Times New Roman"/>
          <w:sz w:val="22"/>
          <w:szCs w:val="22"/>
          <w:lang w:val="es-ES_tradnl" w:eastAsia="es-ES_tradnl"/>
        </w:rPr>
        <w:t xml:space="preserve">ia decisiva sobre sus objetivos estratégicos </w:t>
      </w:r>
      <w:r w:rsidRPr="00015461">
        <w:rPr>
          <w:rFonts w:ascii="Times New Roman" w:hAnsi="Times New Roman" w:cs="Times New Roman"/>
          <w:sz w:val="22"/>
          <w:szCs w:val="22"/>
          <w:lang w:val="es-ES_tradnl" w:eastAsia="es-ES_tradnl"/>
        </w:rPr>
        <w:t>y decisiones significativas. Además, los encargo</w:t>
      </w:r>
      <w:r w:rsidR="001355BC" w:rsidRPr="00015461">
        <w:rPr>
          <w:rFonts w:ascii="Times New Roman" w:hAnsi="Times New Roman" w:cs="Times New Roman"/>
          <w:sz w:val="22"/>
          <w:szCs w:val="22"/>
          <w:lang w:val="es-ES_tradnl" w:eastAsia="es-ES_tradnl"/>
        </w:rPr>
        <w:t xml:space="preserve">s se realizan   conforme a </w:t>
      </w:r>
      <w:r w:rsidRPr="00015461">
        <w:rPr>
          <w:rFonts w:ascii="Times New Roman" w:hAnsi="Times New Roman" w:cs="Times New Roman"/>
          <w:sz w:val="22"/>
          <w:szCs w:val="22"/>
          <w:lang w:val="es-ES_tradnl" w:eastAsia="es-ES_tradnl"/>
        </w:rPr>
        <w:t>unas tarifas que cubren los costes reales de realización de esos encargos.</w:t>
      </w:r>
    </w:p>
    <w:p w:rsidR="00250407" w:rsidRPr="00015461" w:rsidRDefault="00250407" w:rsidP="00250407">
      <w:pPr>
        <w:shd w:val="clear" w:color="auto" w:fill="FFFFFF"/>
        <w:ind w:left="1418" w:right="29"/>
        <w:jc w:val="both"/>
        <w:rPr>
          <w:rFonts w:ascii="Times New Roman" w:hAnsi="Times New Roman" w:cs="Times New Roman"/>
          <w:sz w:val="22"/>
          <w:szCs w:val="22"/>
          <w:lang w:val="es-ES_tradnl" w:eastAsia="es-ES_tradnl"/>
        </w:rPr>
      </w:pPr>
    </w:p>
    <w:p w:rsidR="00250407" w:rsidRPr="00015461" w:rsidRDefault="00250407" w:rsidP="00250407">
      <w:pPr>
        <w:shd w:val="clear" w:color="auto" w:fill="FFFFFF"/>
        <w:ind w:left="1418" w:right="29"/>
        <w:jc w:val="both"/>
        <w:rPr>
          <w:rFonts w:ascii="Times New Roman" w:hAnsi="Times New Roman" w:cs="Times New Roman"/>
          <w:sz w:val="22"/>
          <w:szCs w:val="22"/>
          <w:lang w:val="es-ES_tradnl" w:eastAsia="es-ES_tradnl"/>
        </w:rPr>
      </w:pPr>
      <w:proofErr w:type="gramStart"/>
      <w:r w:rsidRPr="00015461">
        <w:rPr>
          <w:rFonts w:ascii="Times New Roman" w:hAnsi="Times New Roman" w:cs="Times New Roman"/>
          <w:sz w:val="22"/>
          <w:szCs w:val="22"/>
          <w:lang w:val="es-ES_tradnl" w:eastAsia="es-ES_tradnl"/>
        </w:rPr>
        <w:t>2.º</w:t>
      </w:r>
      <w:proofErr w:type="gramEnd"/>
      <w:r w:rsidRPr="00015461">
        <w:rPr>
          <w:rFonts w:ascii="Times New Roman" w:hAnsi="Times New Roman" w:cs="Times New Roman"/>
          <w:sz w:val="22"/>
          <w:szCs w:val="22"/>
          <w:lang w:val="es-ES_tradnl" w:eastAsia="es-ES_tradnl"/>
        </w:rPr>
        <w:t>)  El 100  % de  las actividades  de la Sociedad Municipal  de Promoción de la Ciudad de</w:t>
      </w:r>
      <w:r w:rsidR="001355BC" w:rsidRPr="00015461">
        <w:rPr>
          <w:rFonts w:ascii="Times New Roman" w:hAnsi="Times New Roman" w:cs="Times New Roman"/>
          <w:sz w:val="22"/>
          <w:szCs w:val="22"/>
          <w:lang w:val="es-ES_tradnl" w:eastAsia="es-ES_tradnl"/>
        </w:rPr>
        <w:t xml:space="preserve"> Las Palmas de Gran Canaria, S.</w:t>
      </w:r>
      <w:r w:rsidRPr="00015461">
        <w:rPr>
          <w:rFonts w:ascii="Times New Roman" w:hAnsi="Times New Roman" w:cs="Times New Roman"/>
          <w:sz w:val="22"/>
          <w:szCs w:val="22"/>
          <w:lang w:val="es-ES_tradnl" w:eastAsia="es-ES_tradnl"/>
        </w:rPr>
        <w:t>A. (PROMOCIÓN), se ll</w:t>
      </w:r>
      <w:r w:rsidR="001355BC" w:rsidRPr="00015461">
        <w:rPr>
          <w:rFonts w:ascii="Times New Roman" w:hAnsi="Times New Roman" w:cs="Times New Roman"/>
          <w:sz w:val="22"/>
          <w:szCs w:val="22"/>
          <w:lang w:val="es-ES_tradnl" w:eastAsia="es-ES_tradnl"/>
        </w:rPr>
        <w:t xml:space="preserve">evan a cabo en </w:t>
      </w:r>
      <w:r w:rsidRPr="00015461">
        <w:rPr>
          <w:rFonts w:ascii="Times New Roman" w:hAnsi="Times New Roman" w:cs="Times New Roman"/>
          <w:sz w:val="22"/>
          <w:szCs w:val="22"/>
          <w:lang w:val="es-ES_tradnl" w:eastAsia="es-ES_tradnl"/>
        </w:rPr>
        <w:t>el ejercicio de los cometidos que le han sido confiados por el Ayuntamiento de Las Palmas de Gran Canaria.</w:t>
      </w:r>
    </w:p>
    <w:p w:rsidR="00250407" w:rsidRPr="00015461" w:rsidRDefault="00250407" w:rsidP="00250407">
      <w:pPr>
        <w:shd w:val="clear" w:color="auto" w:fill="FFFFFF"/>
        <w:ind w:left="1418" w:right="29"/>
        <w:jc w:val="both"/>
        <w:rPr>
          <w:rFonts w:ascii="Times New Roman" w:hAnsi="Times New Roman" w:cs="Times New Roman"/>
          <w:sz w:val="22"/>
          <w:szCs w:val="22"/>
          <w:lang w:val="es-ES_tradnl" w:eastAsia="es-ES_tradnl"/>
        </w:rPr>
      </w:pPr>
    </w:p>
    <w:p w:rsidR="00250407" w:rsidRDefault="00250407" w:rsidP="00250407">
      <w:pPr>
        <w:shd w:val="clear" w:color="auto" w:fill="FFFFFF"/>
        <w:ind w:left="1418" w:right="29"/>
        <w:jc w:val="both"/>
        <w:rPr>
          <w:rFonts w:ascii="Times New Roman" w:hAnsi="Times New Roman" w:cs="Times New Roman"/>
          <w:sz w:val="22"/>
          <w:szCs w:val="22"/>
          <w:lang w:val="es-ES_tradnl" w:eastAsia="es-ES_tradnl"/>
        </w:rPr>
      </w:pPr>
      <w:proofErr w:type="gramStart"/>
      <w:r w:rsidRPr="00015461">
        <w:rPr>
          <w:rFonts w:ascii="Times New Roman" w:hAnsi="Times New Roman" w:cs="Times New Roman"/>
          <w:sz w:val="22"/>
          <w:szCs w:val="22"/>
          <w:lang w:val="es-ES_tradnl" w:eastAsia="es-ES_tradnl"/>
        </w:rPr>
        <w:t>3.º</w:t>
      </w:r>
      <w:proofErr w:type="gramEnd"/>
      <w:r w:rsidRPr="00015461">
        <w:rPr>
          <w:rFonts w:ascii="Times New Roman" w:hAnsi="Times New Roman" w:cs="Times New Roman"/>
          <w:sz w:val="22"/>
          <w:szCs w:val="22"/>
          <w:lang w:val="es-ES_tradnl" w:eastAsia="es-ES_tradnl"/>
        </w:rPr>
        <w:t>)  La totalidad del capital social de la Sociedad Municipal  de Promoción de la Ciudad de</w:t>
      </w:r>
      <w:r w:rsidR="001355BC" w:rsidRPr="00015461">
        <w:rPr>
          <w:rFonts w:ascii="Times New Roman" w:hAnsi="Times New Roman" w:cs="Times New Roman"/>
          <w:sz w:val="22"/>
          <w:szCs w:val="22"/>
          <w:lang w:val="es-ES_tradnl" w:eastAsia="es-ES_tradnl"/>
        </w:rPr>
        <w:t xml:space="preserve"> Las Palmas de Gran Canaria, S.</w:t>
      </w:r>
      <w:r w:rsidRPr="00015461">
        <w:rPr>
          <w:rFonts w:ascii="Times New Roman" w:hAnsi="Times New Roman" w:cs="Times New Roman"/>
          <w:sz w:val="22"/>
          <w:szCs w:val="22"/>
          <w:lang w:val="es-ES_tradnl" w:eastAsia="es-ES_tradnl"/>
        </w:rPr>
        <w:t>A. (P</w:t>
      </w:r>
      <w:r w:rsidR="001355BC" w:rsidRPr="00015461">
        <w:rPr>
          <w:rFonts w:ascii="Times New Roman" w:hAnsi="Times New Roman" w:cs="Times New Roman"/>
          <w:sz w:val="22"/>
          <w:szCs w:val="22"/>
          <w:lang w:val="es-ES_tradnl" w:eastAsia="es-ES_tradnl"/>
        </w:rPr>
        <w:t xml:space="preserve">ROMOCIÓN), es propiedad </w:t>
      </w:r>
      <w:r w:rsidRPr="00015461">
        <w:rPr>
          <w:rFonts w:ascii="Times New Roman" w:hAnsi="Times New Roman" w:cs="Times New Roman"/>
          <w:sz w:val="22"/>
          <w:szCs w:val="22"/>
          <w:lang w:val="es-ES_tradnl" w:eastAsia="es-ES_tradnl"/>
        </w:rPr>
        <w:t>del Ayuntamiento de Las Palmas de Gran Canaria.</w:t>
      </w:r>
    </w:p>
    <w:p w:rsidR="00205A13" w:rsidRPr="00015461" w:rsidRDefault="00205A13" w:rsidP="00250407">
      <w:pPr>
        <w:shd w:val="clear" w:color="auto" w:fill="FFFFFF"/>
        <w:ind w:left="1418" w:right="29"/>
        <w:jc w:val="both"/>
        <w:rPr>
          <w:rFonts w:ascii="Times New Roman" w:hAnsi="Times New Roman" w:cs="Times New Roman"/>
          <w:sz w:val="22"/>
          <w:szCs w:val="22"/>
          <w:lang w:val="es-ES_tradnl" w:eastAsia="es-ES_tradnl"/>
        </w:rPr>
      </w:pPr>
    </w:p>
    <w:p w:rsidR="00250407" w:rsidRPr="00015461" w:rsidRDefault="00250407" w:rsidP="00250407">
      <w:pPr>
        <w:shd w:val="clear" w:color="auto" w:fill="FFFFFF"/>
        <w:ind w:left="720" w:right="29"/>
        <w:jc w:val="both"/>
        <w:rPr>
          <w:rFonts w:ascii="Times New Roman" w:hAnsi="Times New Roman" w:cs="Times New Roman"/>
          <w:sz w:val="22"/>
          <w:szCs w:val="22"/>
          <w:lang w:val="es-ES_tradnl" w:eastAsia="es-ES_tradnl"/>
        </w:rPr>
      </w:pPr>
    </w:p>
    <w:p w:rsidR="00250407" w:rsidRDefault="00250407" w:rsidP="001355BC">
      <w:pPr>
        <w:shd w:val="clear" w:color="auto" w:fill="FFFFFF"/>
        <w:ind w:left="720" w:right="29"/>
        <w:jc w:val="both"/>
        <w:rPr>
          <w:rFonts w:ascii="Times New Roman" w:hAnsi="Times New Roman" w:cs="Times New Roman"/>
          <w:sz w:val="22"/>
          <w:szCs w:val="22"/>
          <w:lang w:val="es-ES_tradnl" w:eastAsia="es-ES_tradnl"/>
        </w:rPr>
      </w:pPr>
      <w:r w:rsidRPr="00015461">
        <w:rPr>
          <w:rFonts w:ascii="Times New Roman" w:hAnsi="Times New Roman" w:cs="Times New Roman"/>
          <w:sz w:val="22"/>
          <w:szCs w:val="22"/>
          <w:lang w:val="es-ES_tradnl" w:eastAsia="es-ES_tradnl"/>
        </w:rPr>
        <w:lastRenderedPageBreak/>
        <w:t>La Sociedad Municipal de Promoción de la Ciudad de</w:t>
      </w:r>
      <w:r w:rsidR="001355BC" w:rsidRPr="00015461">
        <w:rPr>
          <w:rFonts w:ascii="Times New Roman" w:hAnsi="Times New Roman" w:cs="Times New Roman"/>
          <w:sz w:val="22"/>
          <w:szCs w:val="22"/>
          <w:lang w:val="es-ES_tradnl" w:eastAsia="es-ES_tradnl"/>
        </w:rPr>
        <w:t xml:space="preserve"> Las Palmas de Gran Canaria, S.</w:t>
      </w:r>
      <w:r w:rsidRPr="00015461">
        <w:rPr>
          <w:rFonts w:ascii="Times New Roman" w:hAnsi="Times New Roman" w:cs="Times New Roman"/>
          <w:sz w:val="22"/>
          <w:szCs w:val="22"/>
          <w:lang w:val="es-ES_tradnl" w:eastAsia="es-ES_tradnl"/>
        </w:rPr>
        <w:t>A. (PROMOCIÓN), tiene los medios personales y materiales propios para poder realizar las acciones objeto del encargo, y fue autorizada por el pleno municipal de fecha 28 de septiembre de 2018, para ser considera</w:t>
      </w:r>
      <w:r w:rsidR="001355BC" w:rsidRPr="00015461">
        <w:rPr>
          <w:rFonts w:ascii="Times New Roman" w:hAnsi="Times New Roman" w:cs="Times New Roman"/>
          <w:sz w:val="22"/>
          <w:szCs w:val="22"/>
          <w:lang w:val="es-ES_tradnl" w:eastAsia="es-ES_tradnl"/>
        </w:rPr>
        <w:t>da medio propio personificado</w:t>
      </w:r>
      <w:r w:rsidRPr="00015461">
        <w:rPr>
          <w:rFonts w:ascii="Times New Roman" w:hAnsi="Times New Roman" w:cs="Times New Roman"/>
          <w:sz w:val="22"/>
          <w:szCs w:val="22"/>
          <w:lang w:val="es-ES_tradnl" w:eastAsia="es-ES_tradnl"/>
        </w:rPr>
        <w:t xml:space="preserve"> del A</w:t>
      </w:r>
      <w:r w:rsidR="001355BC" w:rsidRPr="00015461">
        <w:rPr>
          <w:rFonts w:ascii="Times New Roman" w:hAnsi="Times New Roman" w:cs="Times New Roman"/>
          <w:sz w:val="22"/>
          <w:szCs w:val="22"/>
          <w:lang w:val="es-ES_tradnl" w:eastAsia="es-ES_tradnl"/>
        </w:rPr>
        <w:t xml:space="preserve">yuntamiento de Las Palmas de Gran </w:t>
      </w:r>
      <w:r w:rsidRPr="00015461">
        <w:rPr>
          <w:rFonts w:ascii="Times New Roman" w:hAnsi="Times New Roman" w:cs="Times New Roman"/>
          <w:sz w:val="22"/>
          <w:szCs w:val="22"/>
          <w:lang w:val="es-ES_tradnl" w:eastAsia="es-ES_tradnl"/>
        </w:rPr>
        <w:t>Canaria.</w:t>
      </w:r>
    </w:p>
    <w:p w:rsidR="008A3FE9" w:rsidRDefault="008A3FE9" w:rsidP="001355BC">
      <w:pPr>
        <w:shd w:val="clear" w:color="auto" w:fill="FFFFFF"/>
        <w:ind w:left="720" w:right="29"/>
        <w:jc w:val="both"/>
        <w:rPr>
          <w:rFonts w:ascii="Times New Roman" w:hAnsi="Times New Roman" w:cs="Times New Roman"/>
          <w:sz w:val="22"/>
          <w:szCs w:val="22"/>
          <w:lang w:val="es-ES_tradnl" w:eastAsia="es-ES_tradnl"/>
        </w:rPr>
      </w:pPr>
    </w:p>
    <w:p w:rsidR="007A0D26" w:rsidRPr="00015461" w:rsidRDefault="00250407" w:rsidP="00250407">
      <w:pPr>
        <w:shd w:val="clear" w:color="auto" w:fill="FFFFFF"/>
        <w:ind w:left="720" w:right="29"/>
        <w:jc w:val="both"/>
        <w:rPr>
          <w:rFonts w:ascii="Times New Roman" w:hAnsi="Times New Roman" w:cs="Times New Roman"/>
          <w:sz w:val="22"/>
          <w:szCs w:val="22"/>
          <w:lang w:val="es-ES_tradnl" w:eastAsia="es-ES_tradnl"/>
        </w:rPr>
      </w:pPr>
      <w:r w:rsidRPr="00015461">
        <w:rPr>
          <w:rFonts w:ascii="Times New Roman" w:hAnsi="Times New Roman" w:cs="Times New Roman"/>
          <w:sz w:val="22"/>
          <w:szCs w:val="22"/>
          <w:lang w:val="es-ES_tradnl" w:eastAsia="es-ES_tradnl"/>
        </w:rPr>
        <w:t>En tal sentido, con fecha 28 de septiembre de 2018 el Pleno del Excmo. Ayuntamiento de Las Palmas de Gran Canaria aprobó por unanimidad la modificación de los estatutos de la Sociedad para adaptar su objeto social a la Ley 9/2017, de 8 de noviembre, de Contratos del Sector Público, por la que transponen al ordenamiento jurídico español las Directivas del parlamento Europeo y del Consejo 2014/23/UE y 2014/24/UE, de 26 de febrero de 2014, quedando el artículo 1 de sus estatutos con la siguiente redacción:</w:t>
      </w:r>
    </w:p>
    <w:p w:rsidR="00250407" w:rsidRPr="00015461" w:rsidRDefault="00250407" w:rsidP="00250407">
      <w:pPr>
        <w:shd w:val="clear" w:color="auto" w:fill="FFFFFF"/>
        <w:ind w:left="720" w:right="29"/>
        <w:jc w:val="both"/>
        <w:rPr>
          <w:rFonts w:ascii="Times New Roman" w:hAnsi="Times New Roman" w:cs="Times New Roman"/>
          <w:sz w:val="22"/>
          <w:szCs w:val="22"/>
          <w:lang w:val="es-ES_tradnl" w:eastAsia="es-ES_tradnl"/>
        </w:rPr>
      </w:pPr>
    </w:p>
    <w:p w:rsidR="00250407" w:rsidRPr="00015461" w:rsidRDefault="00250407" w:rsidP="00CF613B">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“Artículo 1º Den</w:t>
      </w:r>
      <w:r w:rsidR="00CF613B" w:rsidRPr="00015461">
        <w:rPr>
          <w:rFonts w:ascii="Times New Roman" w:hAnsi="Times New Roman" w:cs="Times New Roman"/>
          <w:i/>
          <w:iCs/>
          <w:sz w:val="22"/>
          <w:szCs w:val="22"/>
          <w:lang w:val="es-ES_tradnl" w:eastAsia="es-ES_tradnl"/>
        </w:rPr>
        <w:t xml:space="preserve">ominación.- La Sociedad girará </w:t>
      </w:r>
      <w:r w:rsidRPr="00015461">
        <w:rPr>
          <w:rFonts w:ascii="Times New Roman" w:hAnsi="Times New Roman" w:cs="Times New Roman"/>
          <w:i/>
          <w:iCs/>
          <w:sz w:val="22"/>
          <w:szCs w:val="22"/>
          <w:lang w:val="es-ES_tradnl" w:eastAsia="es-ES_tradnl"/>
        </w:rPr>
        <w:t>con la denominación de "PROMOCIÓN DE LA CIUDAD DE LAS PALMAS DE GRAN CANA</w:t>
      </w:r>
      <w:r w:rsidR="00CF613B" w:rsidRPr="00015461">
        <w:rPr>
          <w:rFonts w:ascii="Times New Roman" w:hAnsi="Times New Roman" w:cs="Times New Roman"/>
          <w:i/>
          <w:iCs/>
          <w:sz w:val="22"/>
          <w:szCs w:val="22"/>
          <w:lang w:val="es-ES_tradnl" w:eastAsia="es-ES_tradnl"/>
        </w:rPr>
        <w:t xml:space="preserve">RIA, SOCIEDAD ANÓNIMA". Reviste carácter de privada municipal, con </w:t>
      </w:r>
      <w:r w:rsidRPr="00015461">
        <w:rPr>
          <w:rFonts w:ascii="Times New Roman" w:hAnsi="Times New Roman" w:cs="Times New Roman"/>
          <w:i/>
          <w:iCs/>
          <w:sz w:val="22"/>
          <w:szCs w:val="22"/>
          <w:lang w:val="es-ES_tradnl" w:eastAsia="es-ES_tradnl"/>
        </w:rPr>
        <w:t xml:space="preserve">sujeción a la </w:t>
      </w:r>
      <w:r w:rsidR="00CF613B" w:rsidRPr="00015461">
        <w:rPr>
          <w:rFonts w:ascii="Times New Roman" w:hAnsi="Times New Roman" w:cs="Times New Roman"/>
          <w:i/>
          <w:iCs/>
          <w:sz w:val="22"/>
          <w:szCs w:val="22"/>
          <w:lang w:val="es-ES_tradnl" w:eastAsia="es-ES_tradnl"/>
        </w:rPr>
        <w:t xml:space="preserve">Ley sobre  Sociedades Anónimas, </w:t>
      </w:r>
      <w:r w:rsidRPr="00015461">
        <w:rPr>
          <w:rFonts w:ascii="Times New Roman" w:hAnsi="Times New Roman" w:cs="Times New Roman"/>
          <w:i/>
          <w:iCs/>
          <w:sz w:val="22"/>
          <w:szCs w:val="22"/>
          <w:lang w:val="es-ES_tradnl" w:eastAsia="es-ES_tradnl"/>
        </w:rPr>
        <w:t>la legislación local, sus propios Estatutos y demás disposiciones aplicables.</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CF613B"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 xml:space="preserve">Esta Sociedad Municipal tiene la </w:t>
      </w:r>
      <w:r w:rsidR="00250407" w:rsidRPr="00015461">
        <w:rPr>
          <w:rFonts w:ascii="Times New Roman" w:hAnsi="Times New Roman" w:cs="Times New Roman"/>
          <w:i/>
          <w:iCs/>
          <w:sz w:val="22"/>
          <w:szCs w:val="22"/>
          <w:lang w:val="es-ES_tradnl" w:eastAsia="es-ES_tradnl"/>
        </w:rPr>
        <w:t>consideración de medio propio personificado y servicio técnico del Ayuntamient</w:t>
      </w:r>
      <w:r w:rsidRPr="00015461">
        <w:rPr>
          <w:rFonts w:ascii="Times New Roman" w:hAnsi="Times New Roman" w:cs="Times New Roman"/>
          <w:i/>
          <w:iCs/>
          <w:sz w:val="22"/>
          <w:szCs w:val="22"/>
          <w:lang w:val="es-ES_tradnl" w:eastAsia="es-ES_tradnl"/>
        </w:rPr>
        <w:t xml:space="preserve">o de Las Palmas de Gran Canaria y de las demás  entidades y </w:t>
      </w:r>
      <w:r w:rsidR="00250407" w:rsidRPr="00015461">
        <w:rPr>
          <w:rFonts w:ascii="Times New Roman" w:hAnsi="Times New Roman" w:cs="Times New Roman"/>
          <w:i/>
          <w:iCs/>
          <w:sz w:val="22"/>
          <w:szCs w:val="22"/>
          <w:lang w:val="es-ES_tradnl" w:eastAsia="es-ES_tradnl"/>
        </w:rPr>
        <w:t>organismos autónom</w:t>
      </w:r>
      <w:r w:rsidRPr="00015461">
        <w:rPr>
          <w:rFonts w:ascii="Times New Roman" w:hAnsi="Times New Roman" w:cs="Times New Roman"/>
          <w:i/>
          <w:iCs/>
          <w:sz w:val="22"/>
          <w:szCs w:val="22"/>
          <w:lang w:val="es-ES_tradnl" w:eastAsia="es-ES_tradnl"/>
        </w:rPr>
        <w:t xml:space="preserve">os dependientes del mismo, de </w:t>
      </w:r>
      <w:r w:rsidR="00250407" w:rsidRPr="00015461">
        <w:rPr>
          <w:rFonts w:ascii="Times New Roman" w:hAnsi="Times New Roman" w:cs="Times New Roman"/>
          <w:i/>
          <w:iCs/>
          <w:sz w:val="22"/>
          <w:szCs w:val="22"/>
          <w:lang w:val="es-ES_tradnl" w:eastAsia="es-ES_tradnl"/>
        </w:rPr>
        <w:t>forma exclusiva, pudiend</w:t>
      </w:r>
      <w:r w:rsidRPr="00015461">
        <w:rPr>
          <w:rFonts w:ascii="Times New Roman" w:hAnsi="Times New Roman" w:cs="Times New Roman"/>
          <w:i/>
          <w:iCs/>
          <w:sz w:val="22"/>
          <w:szCs w:val="22"/>
          <w:lang w:val="es-ES_tradnl" w:eastAsia="es-ES_tradnl"/>
        </w:rPr>
        <w:t xml:space="preserve">o estos conferirle directamente los </w:t>
      </w:r>
      <w:r w:rsidR="00250407" w:rsidRPr="00015461">
        <w:rPr>
          <w:rFonts w:ascii="Times New Roman" w:hAnsi="Times New Roman" w:cs="Times New Roman"/>
          <w:i/>
          <w:iCs/>
          <w:sz w:val="22"/>
          <w:szCs w:val="22"/>
          <w:lang w:val="es-ES_tradnl" w:eastAsia="es-ES_tradnl"/>
        </w:rPr>
        <w:t xml:space="preserve">encargos o adjudicarle los  contratos que  sean precisos, siempre en el ámbito del </w:t>
      </w:r>
      <w:r w:rsidRPr="00015461">
        <w:rPr>
          <w:rFonts w:ascii="Times New Roman" w:hAnsi="Times New Roman" w:cs="Times New Roman"/>
          <w:i/>
          <w:iCs/>
          <w:sz w:val="22"/>
          <w:szCs w:val="22"/>
          <w:lang w:val="es-ES_tradnl" w:eastAsia="es-ES_tradnl"/>
        </w:rPr>
        <w:t>objeto social  de la  Sociedad, sin más   limitaciones que</w:t>
      </w:r>
      <w:r w:rsidR="00250407" w:rsidRPr="00015461">
        <w:rPr>
          <w:rFonts w:ascii="Times New Roman" w:hAnsi="Times New Roman" w:cs="Times New Roman"/>
          <w:i/>
          <w:iCs/>
          <w:sz w:val="22"/>
          <w:szCs w:val="22"/>
          <w:lang w:val="es-ES_tradnl" w:eastAsia="es-ES_tradnl"/>
        </w:rPr>
        <w:t xml:space="preserve"> l</w:t>
      </w:r>
      <w:r w:rsidRPr="00015461">
        <w:rPr>
          <w:rFonts w:ascii="Times New Roman" w:hAnsi="Times New Roman" w:cs="Times New Roman"/>
          <w:i/>
          <w:iCs/>
          <w:sz w:val="22"/>
          <w:szCs w:val="22"/>
          <w:lang w:val="es-ES_tradnl" w:eastAsia="es-ES_tradnl"/>
        </w:rPr>
        <w:t>as  que vengan   establecidas por</w:t>
      </w:r>
      <w:r w:rsidR="00250407" w:rsidRPr="00015461">
        <w:rPr>
          <w:rFonts w:ascii="Times New Roman" w:hAnsi="Times New Roman" w:cs="Times New Roman"/>
          <w:i/>
          <w:iCs/>
          <w:sz w:val="22"/>
          <w:szCs w:val="22"/>
          <w:lang w:val="es-ES_tradnl" w:eastAsia="es-ES_tradnl"/>
        </w:rPr>
        <w:t xml:space="preserve"> l</w:t>
      </w:r>
      <w:r w:rsidRPr="00015461">
        <w:rPr>
          <w:rFonts w:ascii="Times New Roman" w:hAnsi="Times New Roman" w:cs="Times New Roman"/>
          <w:i/>
          <w:iCs/>
          <w:sz w:val="22"/>
          <w:szCs w:val="22"/>
          <w:lang w:val="es-ES_tradnl" w:eastAsia="es-ES_tradnl"/>
        </w:rPr>
        <w:t xml:space="preserve">a normativa </w:t>
      </w:r>
      <w:r w:rsidR="00250407" w:rsidRPr="00015461">
        <w:rPr>
          <w:rFonts w:ascii="Times New Roman" w:hAnsi="Times New Roman" w:cs="Times New Roman"/>
          <w:i/>
          <w:iCs/>
          <w:sz w:val="22"/>
          <w:szCs w:val="22"/>
          <w:lang w:val="es-ES_tradnl" w:eastAsia="es-ES_tradnl"/>
        </w:rPr>
        <w:t>estatal básica en ma</w:t>
      </w:r>
      <w:r w:rsidRPr="00015461">
        <w:rPr>
          <w:rFonts w:ascii="Times New Roman" w:hAnsi="Times New Roman" w:cs="Times New Roman"/>
          <w:i/>
          <w:iCs/>
          <w:sz w:val="22"/>
          <w:szCs w:val="22"/>
          <w:lang w:val="es-ES_tradnl" w:eastAsia="es-ES_tradnl"/>
        </w:rPr>
        <w:t xml:space="preserve">teria de contratación pública y por la normativa comunitaria </w:t>
      </w:r>
      <w:r w:rsidR="00250407" w:rsidRPr="00015461">
        <w:rPr>
          <w:rFonts w:ascii="Times New Roman" w:hAnsi="Times New Roman" w:cs="Times New Roman"/>
          <w:i/>
          <w:iCs/>
          <w:sz w:val="22"/>
          <w:szCs w:val="22"/>
          <w:lang w:val="es-ES_tradnl" w:eastAsia="es-ES_tradnl"/>
        </w:rPr>
        <w:t>eu</w:t>
      </w:r>
      <w:r w:rsidRPr="00015461">
        <w:rPr>
          <w:rFonts w:ascii="Times New Roman" w:hAnsi="Times New Roman" w:cs="Times New Roman"/>
          <w:i/>
          <w:iCs/>
          <w:sz w:val="22"/>
          <w:szCs w:val="22"/>
          <w:lang w:val="es-ES_tradnl" w:eastAsia="es-ES_tradnl"/>
        </w:rPr>
        <w:t>ropea    directamente aplicable.</w:t>
      </w:r>
      <w:r w:rsidR="00250407" w:rsidRPr="00015461">
        <w:rPr>
          <w:rFonts w:ascii="Times New Roman" w:hAnsi="Times New Roman" w:cs="Times New Roman"/>
          <w:i/>
          <w:iCs/>
          <w:sz w:val="22"/>
          <w:szCs w:val="22"/>
          <w:lang w:val="es-ES_tradnl" w:eastAsia="es-ES_tradnl"/>
        </w:rPr>
        <w:tab/>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CF613B"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El</w:t>
      </w:r>
      <w:r w:rsidR="00444288" w:rsidRPr="00015461">
        <w:rPr>
          <w:rFonts w:ascii="Times New Roman" w:hAnsi="Times New Roman" w:cs="Times New Roman"/>
          <w:i/>
          <w:iCs/>
          <w:sz w:val="22"/>
          <w:szCs w:val="22"/>
          <w:lang w:val="es-ES_tradnl" w:eastAsia="es-ES_tradnl"/>
        </w:rPr>
        <w:t xml:space="preserve"> </w:t>
      </w:r>
      <w:r w:rsidR="00250407" w:rsidRPr="00015461">
        <w:rPr>
          <w:rFonts w:ascii="Times New Roman" w:hAnsi="Times New Roman" w:cs="Times New Roman"/>
          <w:i/>
          <w:iCs/>
          <w:sz w:val="22"/>
          <w:szCs w:val="22"/>
          <w:lang w:val="es-ES_tradnl" w:eastAsia="es-ES_tradnl"/>
        </w:rPr>
        <w:t>régimen jurídico y administrativo de los referidos encargos que desde</w:t>
      </w:r>
      <w:r w:rsidR="00E21893" w:rsidRPr="00015461">
        <w:rPr>
          <w:rFonts w:ascii="Times New Roman" w:hAnsi="Times New Roman" w:cs="Times New Roman"/>
          <w:i/>
          <w:iCs/>
          <w:sz w:val="22"/>
          <w:szCs w:val="22"/>
          <w:lang w:val="es-ES_tradnl" w:eastAsia="es-ES_tradnl"/>
        </w:rPr>
        <w:t xml:space="preserve"> el Ayuntamiento de Las Palmas de Gran Canaria y sus</w:t>
      </w:r>
      <w:r w:rsidR="00250407" w:rsidRPr="00015461">
        <w:rPr>
          <w:rFonts w:ascii="Times New Roman" w:hAnsi="Times New Roman" w:cs="Times New Roman"/>
          <w:i/>
          <w:iCs/>
          <w:sz w:val="22"/>
          <w:szCs w:val="22"/>
          <w:lang w:val="es-ES_tradnl" w:eastAsia="es-ES_tradnl"/>
        </w:rPr>
        <w:t xml:space="preserve"> organismos au</w:t>
      </w:r>
      <w:r w:rsidR="00E21893" w:rsidRPr="00015461">
        <w:rPr>
          <w:rFonts w:ascii="Times New Roman" w:hAnsi="Times New Roman" w:cs="Times New Roman"/>
          <w:i/>
          <w:iCs/>
          <w:sz w:val="22"/>
          <w:szCs w:val="22"/>
          <w:lang w:val="es-ES_tradnl" w:eastAsia="es-ES_tradnl"/>
        </w:rPr>
        <w:t xml:space="preserve">tónomos se  realicen a </w:t>
      </w:r>
      <w:r w:rsidR="00250407" w:rsidRPr="00015461">
        <w:rPr>
          <w:rFonts w:ascii="Times New Roman" w:hAnsi="Times New Roman" w:cs="Times New Roman"/>
          <w:i/>
          <w:iCs/>
          <w:sz w:val="22"/>
          <w:szCs w:val="22"/>
          <w:lang w:val="es-ES_tradnl" w:eastAsia="es-ES_tradnl"/>
        </w:rPr>
        <w:t>Sociedad</w:t>
      </w:r>
      <w:r w:rsidR="00E21893" w:rsidRPr="00015461">
        <w:rPr>
          <w:rFonts w:ascii="Times New Roman" w:hAnsi="Times New Roman" w:cs="Times New Roman"/>
          <w:i/>
          <w:iCs/>
          <w:sz w:val="22"/>
          <w:szCs w:val="22"/>
          <w:lang w:val="es-ES_tradnl" w:eastAsia="es-ES_tradnl"/>
        </w:rPr>
        <w:t xml:space="preserve"> Municipal, quedan excluidos</w:t>
      </w:r>
      <w:r w:rsidR="00250407" w:rsidRPr="00015461">
        <w:rPr>
          <w:rFonts w:ascii="Times New Roman" w:hAnsi="Times New Roman" w:cs="Times New Roman"/>
          <w:i/>
          <w:iCs/>
          <w:sz w:val="22"/>
          <w:szCs w:val="22"/>
          <w:lang w:val="es-ES_tradnl" w:eastAsia="es-ES_tradnl"/>
        </w:rPr>
        <w:t xml:space="preserve"> del </w:t>
      </w:r>
      <w:r w:rsidR="00E21893" w:rsidRPr="00015461">
        <w:rPr>
          <w:rFonts w:ascii="Times New Roman" w:hAnsi="Times New Roman" w:cs="Times New Roman"/>
          <w:i/>
          <w:iCs/>
          <w:sz w:val="22"/>
          <w:szCs w:val="22"/>
          <w:lang w:val="es-ES_tradnl" w:eastAsia="es-ES_tradnl"/>
        </w:rPr>
        <w:t xml:space="preserve">ámbito de </w:t>
      </w:r>
      <w:r w:rsidR="00250407" w:rsidRPr="00015461">
        <w:rPr>
          <w:rFonts w:ascii="Times New Roman" w:hAnsi="Times New Roman" w:cs="Times New Roman"/>
          <w:i/>
          <w:iCs/>
          <w:sz w:val="22"/>
          <w:szCs w:val="22"/>
          <w:lang w:val="es-ES_tradnl" w:eastAsia="es-ES_tradnl"/>
        </w:rPr>
        <w:t>la legislación aplicable a la contratación pública por no tener</w:t>
      </w:r>
      <w:r w:rsidR="00E21893" w:rsidRPr="00015461">
        <w:rPr>
          <w:rFonts w:ascii="Times New Roman" w:hAnsi="Times New Roman" w:cs="Times New Roman"/>
          <w:i/>
          <w:iCs/>
          <w:sz w:val="22"/>
          <w:szCs w:val="22"/>
          <w:lang w:val="es-ES_tradnl" w:eastAsia="es-ES_tradnl"/>
        </w:rPr>
        <w:t xml:space="preserve"> la consideración jurídica </w:t>
      </w:r>
      <w:r w:rsidR="00250407" w:rsidRPr="00015461">
        <w:rPr>
          <w:rFonts w:ascii="Times New Roman" w:hAnsi="Times New Roman" w:cs="Times New Roman"/>
          <w:i/>
          <w:iCs/>
          <w:sz w:val="22"/>
          <w:szCs w:val="22"/>
          <w:lang w:val="es-ES_tradnl" w:eastAsia="es-ES_tradnl"/>
        </w:rPr>
        <w:t>de contrato.</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El</w:t>
      </w:r>
      <w:r w:rsidR="00250407" w:rsidRPr="00015461">
        <w:rPr>
          <w:rFonts w:ascii="Times New Roman" w:hAnsi="Times New Roman" w:cs="Times New Roman"/>
          <w:i/>
          <w:iCs/>
          <w:sz w:val="22"/>
          <w:szCs w:val="22"/>
          <w:lang w:val="es-ES_tradnl" w:eastAsia="es-ES_tradnl"/>
        </w:rPr>
        <w:t xml:space="preserve"> Ayuntamiento d</w:t>
      </w:r>
      <w:r w:rsidRPr="00015461">
        <w:rPr>
          <w:rFonts w:ascii="Times New Roman" w:hAnsi="Times New Roman" w:cs="Times New Roman"/>
          <w:i/>
          <w:iCs/>
          <w:sz w:val="22"/>
          <w:szCs w:val="22"/>
          <w:lang w:val="es-ES_tradnl" w:eastAsia="es-ES_tradnl"/>
        </w:rPr>
        <w:t>e Las Palmas de Gran Canaria y demás</w:t>
      </w:r>
      <w:r w:rsidR="00250407" w:rsidRPr="00015461">
        <w:rPr>
          <w:rFonts w:ascii="Times New Roman" w:hAnsi="Times New Roman" w:cs="Times New Roman"/>
          <w:i/>
          <w:iCs/>
          <w:sz w:val="22"/>
          <w:szCs w:val="22"/>
          <w:lang w:val="es-ES_tradnl" w:eastAsia="es-ES_tradnl"/>
        </w:rPr>
        <w:t xml:space="preserve"> entidad</w:t>
      </w:r>
      <w:r w:rsidRPr="00015461">
        <w:rPr>
          <w:rFonts w:ascii="Times New Roman" w:hAnsi="Times New Roman" w:cs="Times New Roman"/>
          <w:i/>
          <w:iCs/>
          <w:sz w:val="22"/>
          <w:szCs w:val="22"/>
          <w:lang w:val="es-ES_tradnl" w:eastAsia="es-ES_tradnl"/>
        </w:rPr>
        <w:t xml:space="preserve">es y </w:t>
      </w:r>
      <w:r w:rsidR="00250407" w:rsidRPr="00015461">
        <w:rPr>
          <w:rFonts w:ascii="Times New Roman" w:hAnsi="Times New Roman" w:cs="Times New Roman"/>
          <w:i/>
          <w:iCs/>
          <w:sz w:val="22"/>
          <w:szCs w:val="22"/>
          <w:lang w:val="es-ES_tradnl" w:eastAsia="es-ES_tradnl"/>
        </w:rPr>
        <w:t>organismos a</w:t>
      </w:r>
      <w:r w:rsidRPr="00015461">
        <w:rPr>
          <w:rFonts w:ascii="Times New Roman" w:hAnsi="Times New Roman" w:cs="Times New Roman"/>
          <w:i/>
          <w:iCs/>
          <w:sz w:val="22"/>
          <w:szCs w:val="22"/>
          <w:lang w:val="es-ES_tradnl" w:eastAsia="es-ES_tradnl"/>
        </w:rPr>
        <w:t>utónomos dependientes del mismo podrán encarga</w:t>
      </w:r>
      <w:r w:rsidR="00250407" w:rsidRPr="00015461">
        <w:rPr>
          <w:rFonts w:ascii="Times New Roman" w:hAnsi="Times New Roman" w:cs="Times New Roman"/>
          <w:i/>
          <w:iCs/>
          <w:sz w:val="22"/>
          <w:szCs w:val="22"/>
          <w:lang w:val="es-ES_tradnl" w:eastAsia="es-ES_tradnl"/>
        </w:rPr>
        <w:t xml:space="preserve"> a la Sociedad Municipal </w:t>
      </w:r>
      <w:r w:rsidRPr="00015461">
        <w:rPr>
          <w:rFonts w:ascii="Times New Roman" w:hAnsi="Times New Roman" w:cs="Times New Roman"/>
          <w:i/>
          <w:iCs/>
          <w:sz w:val="22"/>
          <w:szCs w:val="22"/>
          <w:lang w:val="es-ES_tradnl" w:eastAsia="es-ES_tradnl"/>
        </w:rPr>
        <w:t>los  trabajos y actividades que precisen para</w:t>
      </w:r>
      <w:r w:rsidR="00250407" w:rsidRPr="00015461">
        <w:rPr>
          <w:rFonts w:ascii="Times New Roman" w:hAnsi="Times New Roman" w:cs="Times New Roman"/>
          <w:i/>
          <w:iCs/>
          <w:sz w:val="22"/>
          <w:szCs w:val="22"/>
          <w:lang w:val="es-ES_tradnl" w:eastAsia="es-ES_tradnl"/>
        </w:rPr>
        <w:t xml:space="preserve"> el</w:t>
      </w:r>
      <w:r w:rsidRPr="00015461">
        <w:rPr>
          <w:rFonts w:ascii="Times New Roman" w:hAnsi="Times New Roman" w:cs="Times New Roman"/>
          <w:i/>
          <w:iCs/>
          <w:sz w:val="22"/>
          <w:szCs w:val="22"/>
          <w:lang w:val="es-ES_tradnl" w:eastAsia="es-ES_tradnl"/>
        </w:rPr>
        <w:t xml:space="preserve"> ejercicio de sus competencias y funciones, de acuerdo con</w:t>
      </w:r>
      <w:r w:rsidR="00250407" w:rsidRPr="00015461">
        <w:rPr>
          <w:rFonts w:ascii="Times New Roman" w:hAnsi="Times New Roman" w:cs="Times New Roman"/>
          <w:i/>
          <w:iCs/>
          <w:sz w:val="22"/>
          <w:szCs w:val="22"/>
          <w:lang w:val="es-ES_tradnl" w:eastAsia="es-ES_tradnl"/>
        </w:rPr>
        <w:t xml:space="preserve"> el régimen establecido en este Estatuto.</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 xml:space="preserve">La Sociedad Municipal está obligada a realizar los trabajos y actividades que le sean encargados por el Ayuntamiento y demás entes dependientes de acuerdo con las  instrucciones fijadas </w:t>
      </w:r>
      <w:r w:rsidR="00250407" w:rsidRPr="00015461">
        <w:rPr>
          <w:rFonts w:ascii="Times New Roman" w:hAnsi="Times New Roman" w:cs="Times New Roman"/>
          <w:i/>
          <w:iCs/>
          <w:sz w:val="22"/>
          <w:szCs w:val="22"/>
          <w:lang w:val="es-ES_tradnl" w:eastAsia="es-ES_tradnl"/>
        </w:rPr>
        <w:t>unilateralmente</w:t>
      </w:r>
      <w:r w:rsidRPr="00015461">
        <w:rPr>
          <w:rFonts w:ascii="Times New Roman" w:hAnsi="Times New Roman" w:cs="Times New Roman"/>
          <w:i/>
          <w:iCs/>
          <w:sz w:val="22"/>
          <w:szCs w:val="22"/>
          <w:lang w:val="es-ES_tradnl" w:eastAsia="es-ES_tradnl"/>
        </w:rPr>
        <w:t xml:space="preserve"> por la entidad que realiza el </w:t>
      </w:r>
      <w:r w:rsidR="00250407" w:rsidRPr="00015461">
        <w:rPr>
          <w:rFonts w:ascii="Times New Roman" w:hAnsi="Times New Roman" w:cs="Times New Roman"/>
          <w:i/>
          <w:iCs/>
          <w:sz w:val="22"/>
          <w:szCs w:val="22"/>
          <w:lang w:val="es-ES_tradnl" w:eastAsia="es-ES_tradnl"/>
        </w:rPr>
        <w:t>enca</w:t>
      </w:r>
      <w:r w:rsidRPr="00015461">
        <w:rPr>
          <w:rFonts w:ascii="Times New Roman" w:hAnsi="Times New Roman" w:cs="Times New Roman"/>
          <w:i/>
          <w:iCs/>
          <w:sz w:val="22"/>
          <w:szCs w:val="22"/>
          <w:lang w:val="es-ES_tradnl" w:eastAsia="es-ES_tradnl"/>
        </w:rPr>
        <w:t xml:space="preserve">rgo. </w:t>
      </w:r>
      <w:r w:rsidR="00250407" w:rsidRPr="00015461">
        <w:rPr>
          <w:rFonts w:ascii="Times New Roman" w:hAnsi="Times New Roman" w:cs="Times New Roman"/>
          <w:i/>
          <w:iCs/>
          <w:sz w:val="22"/>
          <w:szCs w:val="22"/>
          <w:lang w:val="es-ES_tradnl" w:eastAsia="es-ES_tradnl"/>
        </w:rPr>
        <w:t>D</w:t>
      </w:r>
      <w:r w:rsidRPr="00015461">
        <w:rPr>
          <w:rFonts w:ascii="Times New Roman" w:hAnsi="Times New Roman" w:cs="Times New Roman"/>
          <w:i/>
          <w:iCs/>
          <w:sz w:val="22"/>
          <w:szCs w:val="22"/>
          <w:lang w:val="es-ES_tradnl" w:eastAsia="es-ES_tradnl"/>
        </w:rPr>
        <w:t xml:space="preserve">icha   obligación se refiere a los </w:t>
      </w:r>
      <w:r w:rsidR="00250407" w:rsidRPr="00015461">
        <w:rPr>
          <w:rFonts w:ascii="Times New Roman" w:hAnsi="Times New Roman" w:cs="Times New Roman"/>
          <w:i/>
          <w:iCs/>
          <w:sz w:val="22"/>
          <w:szCs w:val="22"/>
          <w:lang w:val="es-ES_tradnl" w:eastAsia="es-ES_tradnl"/>
        </w:rPr>
        <w:t>encargos que le formule como su medio propio y servicio técnico, en las materias que constituyen sus funciones estatutarias.</w:t>
      </w:r>
      <w:r w:rsidRPr="00015461">
        <w:rPr>
          <w:rFonts w:ascii="Times New Roman" w:hAnsi="Times New Roman" w:cs="Times New Roman"/>
          <w:i/>
          <w:iCs/>
          <w:sz w:val="22"/>
          <w:szCs w:val="22"/>
          <w:lang w:val="es-ES_tradnl" w:eastAsia="es-ES_tradnl"/>
        </w:rPr>
        <w:t xml:space="preserve"> Las relaciones de la Sociedad con la </w:t>
      </w:r>
      <w:r w:rsidR="00250407" w:rsidRPr="00015461">
        <w:rPr>
          <w:rFonts w:ascii="Times New Roman" w:hAnsi="Times New Roman" w:cs="Times New Roman"/>
          <w:i/>
          <w:iCs/>
          <w:sz w:val="22"/>
          <w:szCs w:val="22"/>
          <w:lang w:val="es-ES_tradnl" w:eastAsia="es-ES_tradnl"/>
        </w:rPr>
        <w:t>Adm</w:t>
      </w:r>
      <w:r w:rsidRPr="00015461">
        <w:rPr>
          <w:rFonts w:ascii="Times New Roman" w:hAnsi="Times New Roman" w:cs="Times New Roman"/>
          <w:i/>
          <w:iCs/>
          <w:sz w:val="22"/>
          <w:szCs w:val="22"/>
          <w:lang w:val="es-ES_tradnl" w:eastAsia="es-ES_tradnl"/>
        </w:rPr>
        <w:t xml:space="preserve">inistración en su condición de medio </w:t>
      </w:r>
      <w:r w:rsidR="00250407" w:rsidRPr="00015461">
        <w:rPr>
          <w:rFonts w:ascii="Times New Roman" w:hAnsi="Times New Roman" w:cs="Times New Roman"/>
          <w:i/>
          <w:iCs/>
          <w:sz w:val="22"/>
          <w:szCs w:val="22"/>
          <w:lang w:val="es-ES_tradnl" w:eastAsia="es-ES_tradnl"/>
        </w:rPr>
        <w:t>p</w:t>
      </w:r>
      <w:r w:rsidRPr="00015461">
        <w:rPr>
          <w:rFonts w:ascii="Times New Roman" w:hAnsi="Times New Roman" w:cs="Times New Roman"/>
          <w:i/>
          <w:iCs/>
          <w:sz w:val="22"/>
          <w:szCs w:val="22"/>
          <w:lang w:val="es-ES_tradnl" w:eastAsia="es-ES_tradnl"/>
        </w:rPr>
        <w:t xml:space="preserve">ropio y servicio </w:t>
      </w:r>
      <w:r w:rsidR="00250407" w:rsidRPr="00015461">
        <w:rPr>
          <w:rFonts w:ascii="Times New Roman" w:hAnsi="Times New Roman" w:cs="Times New Roman"/>
          <w:i/>
          <w:iCs/>
          <w:sz w:val="22"/>
          <w:szCs w:val="22"/>
          <w:lang w:val="es-ES_tradnl" w:eastAsia="es-ES_tradnl"/>
        </w:rPr>
        <w:t>técnico    tiene</w:t>
      </w:r>
      <w:r w:rsidRPr="00015461">
        <w:rPr>
          <w:rFonts w:ascii="Times New Roman" w:hAnsi="Times New Roman" w:cs="Times New Roman"/>
          <w:i/>
          <w:iCs/>
          <w:sz w:val="22"/>
          <w:szCs w:val="22"/>
          <w:lang w:val="es-ES_tradnl" w:eastAsia="es-ES_tradnl"/>
        </w:rPr>
        <w:t xml:space="preserve">n naturaleza instrumental y no contractual, por lo que, a todos los efectos, son de carácter </w:t>
      </w:r>
      <w:r w:rsidR="00250407" w:rsidRPr="00015461">
        <w:rPr>
          <w:rFonts w:ascii="Times New Roman" w:hAnsi="Times New Roman" w:cs="Times New Roman"/>
          <w:i/>
          <w:iCs/>
          <w:sz w:val="22"/>
          <w:szCs w:val="22"/>
          <w:lang w:val="es-ES_tradnl" w:eastAsia="es-ES_tradnl"/>
        </w:rPr>
        <w:t>interno, dependiente y subordinado.</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 xml:space="preserve">Los encargos se retribuirán mediante tarifas sujetas </w:t>
      </w:r>
      <w:r w:rsidR="00250407" w:rsidRPr="00015461">
        <w:rPr>
          <w:rFonts w:ascii="Times New Roman" w:hAnsi="Times New Roman" w:cs="Times New Roman"/>
          <w:i/>
          <w:iCs/>
          <w:sz w:val="22"/>
          <w:szCs w:val="22"/>
          <w:lang w:val="es-ES_tradnl" w:eastAsia="es-ES_tradnl"/>
        </w:rPr>
        <w:t>al régimen previsto en el párrafo siguiente, y llevarán aparej</w:t>
      </w:r>
      <w:r w:rsidRPr="00015461">
        <w:rPr>
          <w:rFonts w:ascii="Times New Roman" w:hAnsi="Times New Roman" w:cs="Times New Roman"/>
          <w:i/>
          <w:iCs/>
          <w:sz w:val="22"/>
          <w:szCs w:val="22"/>
          <w:lang w:val="es-ES_tradnl" w:eastAsia="es-ES_tradnl"/>
        </w:rPr>
        <w:t xml:space="preserve">ada la potestad, para el órgano que confiere el encargo, de dictar </w:t>
      </w:r>
      <w:r w:rsidR="00250407" w:rsidRPr="00015461">
        <w:rPr>
          <w:rFonts w:ascii="Times New Roman" w:hAnsi="Times New Roman" w:cs="Times New Roman"/>
          <w:i/>
          <w:iCs/>
          <w:sz w:val="22"/>
          <w:szCs w:val="22"/>
          <w:lang w:val="es-ES_tradnl" w:eastAsia="es-ES_tradnl"/>
        </w:rPr>
        <w:t>las instrucciones necesarias para su ejecución</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B41D7D" w:rsidP="00B41D7D">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La compensación se establecerá por ref</w:t>
      </w:r>
      <w:r w:rsidR="000E516B" w:rsidRPr="00015461">
        <w:rPr>
          <w:rFonts w:ascii="Times New Roman" w:hAnsi="Times New Roman" w:cs="Times New Roman"/>
          <w:i/>
          <w:iCs/>
          <w:sz w:val="22"/>
          <w:szCs w:val="22"/>
          <w:lang w:val="es-ES_tradnl" w:eastAsia="es-ES_tradnl"/>
        </w:rPr>
        <w:t xml:space="preserve">erencia a tarifas aprobadas por </w:t>
      </w:r>
      <w:r w:rsidR="00250407" w:rsidRPr="00015461">
        <w:rPr>
          <w:rFonts w:ascii="Times New Roman" w:hAnsi="Times New Roman" w:cs="Times New Roman"/>
          <w:i/>
          <w:iCs/>
          <w:sz w:val="22"/>
          <w:szCs w:val="22"/>
          <w:lang w:val="es-ES_tradnl" w:eastAsia="es-ES_tradnl"/>
        </w:rPr>
        <w:t>el Ayuntamiento</w:t>
      </w:r>
      <w:r w:rsidRPr="00015461">
        <w:rPr>
          <w:rFonts w:ascii="Times New Roman" w:hAnsi="Times New Roman" w:cs="Times New Roman"/>
          <w:i/>
          <w:iCs/>
          <w:sz w:val="22"/>
          <w:szCs w:val="22"/>
          <w:lang w:val="es-ES_tradnl" w:eastAsia="es-ES_tradnl"/>
        </w:rPr>
        <w:t xml:space="preserve"> para </w:t>
      </w:r>
      <w:r w:rsidR="00250407" w:rsidRPr="00015461">
        <w:rPr>
          <w:rFonts w:ascii="Times New Roman" w:hAnsi="Times New Roman" w:cs="Times New Roman"/>
          <w:i/>
          <w:iCs/>
          <w:sz w:val="22"/>
          <w:szCs w:val="22"/>
          <w:lang w:val="es-ES_tradnl" w:eastAsia="es-ES_tradnl"/>
        </w:rPr>
        <w:t>las</w:t>
      </w:r>
      <w:r w:rsidRPr="00015461">
        <w:rPr>
          <w:rFonts w:ascii="Times New Roman" w:hAnsi="Times New Roman" w:cs="Times New Roman"/>
          <w:i/>
          <w:iCs/>
          <w:sz w:val="22"/>
          <w:szCs w:val="22"/>
          <w:lang w:val="es-ES_tradnl" w:eastAsia="es-ES_tradnl"/>
        </w:rPr>
        <w:t xml:space="preserve"> actividades objeto de encargo realizadas por </w:t>
      </w:r>
      <w:r w:rsidR="00250407" w:rsidRPr="00015461">
        <w:rPr>
          <w:rFonts w:ascii="Times New Roman" w:hAnsi="Times New Roman" w:cs="Times New Roman"/>
          <w:i/>
          <w:iCs/>
          <w:sz w:val="22"/>
          <w:szCs w:val="22"/>
          <w:lang w:val="es-ES_tradnl" w:eastAsia="es-ES_tradnl"/>
        </w:rPr>
        <w:t>el medio propio directamente y atendiendo al</w:t>
      </w:r>
      <w:r w:rsidRPr="00015461">
        <w:rPr>
          <w:rFonts w:ascii="Times New Roman" w:hAnsi="Times New Roman" w:cs="Times New Roman"/>
          <w:i/>
          <w:iCs/>
          <w:sz w:val="22"/>
          <w:szCs w:val="22"/>
          <w:lang w:val="es-ES_tradnl" w:eastAsia="es-ES_tradnl"/>
        </w:rPr>
        <w:t xml:space="preserve"> coste efectivo soportado por el medio propio para </w:t>
      </w:r>
      <w:r w:rsidR="00250407" w:rsidRPr="00015461">
        <w:rPr>
          <w:rFonts w:ascii="Times New Roman" w:hAnsi="Times New Roman" w:cs="Times New Roman"/>
          <w:i/>
          <w:iCs/>
          <w:sz w:val="22"/>
          <w:szCs w:val="22"/>
          <w:lang w:val="es-ES_tradnl" w:eastAsia="es-ES_tradnl"/>
        </w:rPr>
        <w:t>las a</w:t>
      </w:r>
      <w:r w:rsidRPr="00015461">
        <w:rPr>
          <w:rFonts w:ascii="Times New Roman" w:hAnsi="Times New Roman" w:cs="Times New Roman"/>
          <w:i/>
          <w:iCs/>
          <w:sz w:val="22"/>
          <w:szCs w:val="22"/>
          <w:lang w:val="es-ES_tradnl" w:eastAsia="es-ES_tradnl"/>
        </w:rPr>
        <w:t xml:space="preserve">ctividades objeto del encargo que </w:t>
      </w:r>
      <w:r w:rsidR="00250407" w:rsidRPr="00015461">
        <w:rPr>
          <w:rFonts w:ascii="Times New Roman" w:hAnsi="Times New Roman" w:cs="Times New Roman"/>
          <w:i/>
          <w:iCs/>
          <w:sz w:val="22"/>
          <w:szCs w:val="22"/>
          <w:lang w:val="es-ES_tradnl" w:eastAsia="es-ES_tradnl"/>
        </w:rPr>
        <w:t>se subcontraten con empresarios particulares en los casos en que este coste se</w:t>
      </w:r>
      <w:r w:rsidRPr="00015461">
        <w:rPr>
          <w:rFonts w:ascii="Times New Roman" w:hAnsi="Times New Roman" w:cs="Times New Roman"/>
          <w:i/>
          <w:iCs/>
          <w:sz w:val="22"/>
          <w:szCs w:val="22"/>
          <w:lang w:val="es-ES_tradnl" w:eastAsia="es-ES_tradnl"/>
        </w:rPr>
        <w:t xml:space="preserve">a inferior al resultante de aplicar las tarifas a </w:t>
      </w:r>
      <w:r w:rsidR="001355BC" w:rsidRPr="00015461">
        <w:rPr>
          <w:rFonts w:ascii="Times New Roman" w:hAnsi="Times New Roman" w:cs="Times New Roman"/>
          <w:i/>
          <w:iCs/>
          <w:sz w:val="22"/>
          <w:szCs w:val="22"/>
          <w:lang w:val="es-ES_tradnl" w:eastAsia="es-ES_tradnl"/>
        </w:rPr>
        <w:t>las</w:t>
      </w:r>
      <w:r w:rsidR="00250407" w:rsidRPr="00015461">
        <w:rPr>
          <w:rFonts w:ascii="Times New Roman" w:hAnsi="Times New Roman" w:cs="Times New Roman"/>
          <w:i/>
          <w:iCs/>
          <w:sz w:val="22"/>
          <w:szCs w:val="22"/>
          <w:lang w:val="es-ES_tradnl" w:eastAsia="es-ES_tradnl"/>
        </w:rPr>
        <w:t xml:space="preserve"> acti</w:t>
      </w:r>
      <w:r w:rsidRPr="00015461">
        <w:rPr>
          <w:rFonts w:ascii="Times New Roman" w:hAnsi="Times New Roman" w:cs="Times New Roman"/>
          <w:i/>
          <w:iCs/>
          <w:sz w:val="22"/>
          <w:szCs w:val="22"/>
          <w:lang w:val="es-ES_tradnl" w:eastAsia="es-ES_tradnl"/>
        </w:rPr>
        <w:t xml:space="preserve">vidades subcontratadas. Dichas tarifas se calcularán de manera que representen los costes  </w:t>
      </w:r>
      <w:r w:rsidRPr="00015461">
        <w:rPr>
          <w:rFonts w:ascii="Times New Roman" w:hAnsi="Times New Roman" w:cs="Times New Roman"/>
          <w:i/>
          <w:iCs/>
          <w:sz w:val="22"/>
          <w:szCs w:val="22"/>
          <w:lang w:val="es-ES_tradnl" w:eastAsia="es-ES_tradnl"/>
        </w:rPr>
        <w:lastRenderedPageBreak/>
        <w:t xml:space="preserve">reales de realización de las unidades </w:t>
      </w:r>
      <w:r w:rsidR="00250407" w:rsidRPr="00015461">
        <w:rPr>
          <w:rFonts w:ascii="Times New Roman" w:hAnsi="Times New Roman" w:cs="Times New Roman"/>
          <w:i/>
          <w:iCs/>
          <w:sz w:val="22"/>
          <w:szCs w:val="22"/>
          <w:lang w:val="es-ES_tradnl" w:eastAsia="es-ES_tradnl"/>
        </w:rPr>
        <w:t>producidas direc</w:t>
      </w:r>
      <w:r w:rsidRPr="00015461">
        <w:rPr>
          <w:rFonts w:ascii="Times New Roman" w:hAnsi="Times New Roman" w:cs="Times New Roman"/>
          <w:i/>
          <w:iCs/>
          <w:sz w:val="22"/>
          <w:szCs w:val="22"/>
          <w:lang w:val="es-ES_tradnl" w:eastAsia="es-ES_tradnl"/>
        </w:rPr>
        <w:t xml:space="preserve">tamente por el </w:t>
      </w:r>
      <w:r w:rsidR="00250407" w:rsidRPr="00015461">
        <w:rPr>
          <w:rFonts w:ascii="Times New Roman" w:hAnsi="Times New Roman" w:cs="Times New Roman"/>
          <w:i/>
          <w:iCs/>
          <w:sz w:val="22"/>
          <w:szCs w:val="22"/>
          <w:lang w:val="es-ES_tradnl" w:eastAsia="es-ES_tradnl"/>
        </w:rPr>
        <w:t>medio propio. La ta</w:t>
      </w:r>
      <w:r w:rsidRPr="00015461">
        <w:rPr>
          <w:rFonts w:ascii="Times New Roman" w:hAnsi="Times New Roman" w:cs="Times New Roman"/>
          <w:i/>
          <w:iCs/>
          <w:sz w:val="22"/>
          <w:szCs w:val="22"/>
          <w:lang w:val="es-ES_tradnl" w:eastAsia="es-ES_tradnl"/>
        </w:rPr>
        <w:t xml:space="preserve">rifa o retribución del encargo deberá cubrir el valor </w:t>
      </w:r>
      <w:r w:rsidR="00250407" w:rsidRPr="00015461">
        <w:rPr>
          <w:rFonts w:ascii="Times New Roman" w:hAnsi="Times New Roman" w:cs="Times New Roman"/>
          <w:i/>
          <w:iCs/>
          <w:sz w:val="22"/>
          <w:szCs w:val="22"/>
          <w:lang w:val="es-ES_tradnl" w:eastAsia="es-ES_tradnl"/>
        </w:rPr>
        <w:t>de las prestaciones encarga</w:t>
      </w:r>
      <w:r w:rsidRPr="00015461">
        <w:rPr>
          <w:rFonts w:ascii="Times New Roman" w:hAnsi="Times New Roman" w:cs="Times New Roman"/>
          <w:i/>
          <w:iCs/>
          <w:sz w:val="22"/>
          <w:szCs w:val="22"/>
          <w:lang w:val="es-ES_tradnl" w:eastAsia="es-ES_tradnl"/>
        </w:rPr>
        <w:t xml:space="preserve">das, teniendo en cuenta para su cálculo los costes directos y </w:t>
      </w:r>
      <w:r w:rsidR="00250407" w:rsidRPr="00015461">
        <w:rPr>
          <w:rFonts w:ascii="Times New Roman" w:hAnsi="Times New Roman" w:cs="Times New Roman"/>
          <w:i/>
          <w:iCs/>
          <w:sz w:val="22"/>
          <w:szCs w:val="22"/>
          <w:lang w:val="es-ES_tradnl" w:eastAsia="es-ES_tradnl"/>
        </w:rPr>
        <w:t xml:space="preserve">los indirectos, y márgenes  razonables, </w:t>
      </w:r>
      <w:r w:rsidRPr="00015461">
        <w:rPr>
          <w:rFonts w:ascii="Times New Roman" w:hAnsi="Times New Roman" w:cs="Times New Roman"/>
          <w:i/>
          <w:iCs/>
          <w:sz w:val="22"/>
          <w:szCs w:val="22"/>
          <w:lang w:val="es-ES_tradnl" w:eastAsia="es-ES_tradnl"/>
        </w:rPr>
        <w:t xml:space="preserve">acordes con </w:t>
      </w:r>
      <w:r w:rsidR="00250407" w:rsidRPr="00015461">
        <w:rPr>
          <w:rFonts w:ascii="Times New Roman" w:hAnsi="Times New Roman" w:cs="Times New Roman"/>
          <w:i/>
          <w:iCs/>
          <w:sz w:val="22"/>
          <w:szCs w:val="22"/>
          <w:lang w:val="es-ES_tradnl" w:eastAsia="es-ES_tradnl"/>
        </w:rPr>
        <w:t>el</w:t>
      </w:r>
      <w:r w:rsidRPr="00015461">
        <w:rPr>
          <w:rFonts w:ascii="Times New Roman" w:hAnsi="Times New Roman" w:cs="Times New Roman"/>
          <w:i/>
          <w:iCs/>
          <w:sz w:val="22"/>
          <w:szCs w:val="22"/>
          <w:lang w:val="es-ES_tradnl" w:eastAsia="es-ES_tradnl"/>
        </w:rPr>
        <w:t xml:space="preserve"> importe de aquellas prestaciones, para</w:t>
      </w:r>
      <w:r w:rsidR="00250407" w:rsidRPr="00015461">
        <w:rPr>
          <w:rFonts w:ascii="Times New Roman" w:hAnsi="Times New Roman" w:cs="Times New Roman"/>
          <w:i/>
          <w:iCs/>
          <w:sz w:val="22"/>
          <w:szCs w:val="22"/>
          <w:lang w:val="es-ES_tradnl" w:eastAsia="es-ES_tradnl"/>
        </w:rPr>
        <w:t xml:space="preserve"> atender desviacio</w:t>
      </w:r>
      <w:r w:rsidRPr="00015461">
        <w:rPr>
          <w:rFonts w:ascii="Times New Roman" w:hAnsi="Times New Roman" w:cs="Times New Roman"/>
          <w:i/>
          <w:iCs/>
          <w:sz w:val="22"/>
          <w:szCs w:val="22"/>
          <w:lang w:val="es-ES_tradnl" w:eastAsia="es-ES_tradnl"/>
        </w:rPr>
        <w:t xml:space="preserve">nes e imprevistos. Las tarifas </w:t>
      </w:r>
      <w:r w:rsidR="00250407" w:rsidRPr="00015461">
        <w:rPr>
          <w:rFonts w:ascii="Times New Roman" w:hAnsi="Times New Roman" w:cs="Times New Roman"/>
          <w:i/>
          <w:iCs/>
          <w:sz w:val="22"/>
          <w:szCs w:val="22"/>
          <w:lang w:val="es-ES_tradnl" w:eastAsia="es-ES_tradnl"/>
        </w:rPr>
        <w:t xml:space="preserve">en </w:t>
      </w:r>
      <w:r w:rsidRPr="00015461">
        <w:rPr>
          <w:rFonts w:ascii="Times New Roman" w:hAnsi="Times New Roman" w:cs="Times New Roman"/>
          <w:i/>
          <w:iCs/>
          <w:sz w:val="22"/>
          <w:szCs w:val="22"/>
          <w:lang w:val="es-ES_tradnl" w:eastAsia="es-ES_tradnl"/>
        </w:rPr>
        <w:t xml:space="preserve">ningún caso incluirán márgenes </w:t>
      </w:r>
      <w:r w:rsidR="00250407" w:rsidRPr="00015461">
        <w:rPr>
          <w:rFonts w:ascii="Times New Roman" w:hAnsi="Times New Roman" w:cs="Times New Roman"/>
          <w:i/>
          <w:iCs/>
          <w:sz w:val="22"/>
          <w:szCs w:val="22"/>
          <w:lang w:val="es-ES_tradnl" w:eastAsia="es-ES_tradnl"/>
        </w:rPr>
        <w:t>de beneficios.</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F400A9"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Las actuaciones obligatorias que le</w:t>
      </w:r>
      <w:r w:rsidR="00250407" w:rsidRPr="00015461">
        <w:rPr>
          <w:rFonts w:ascii="Times New Roman" w:hAnsi="Times New Roman" w:cs="Times New Roman"/>
          <w:i/>
          <w:iCs/>
          <w:sz w:val="22"/>
          <w:szCs w:val="22"/>
          <w:lang w:val="es-ES_tradnl" w:eastAsia="es-ES_tradnl"/>
        </w:rPr>
        <w:t xml:space="preserve"> sean encargadas a la Sociedad Munici</w:t>
      </w:r>
      <w:r w:rsidRPr="00015461">
        <w:rPr>
          <w:rFonts w:ascii="Times New Roman" w:hAnsi="Times New Roman" w:cs="Times New Roman"/>
          <w:i/>
          <w:iCs/>
          <w:sz w:val="22"/>
          <w:szCs w:val="22"/>
          <w:lang w:val="es-ES_tradnl" w:eastAsia="es-ES_tradnl"/>
        </w:rPr>
        <w:t xml:space="preserve">pal estarán definidas, según los </w:t>
      </w:r>
      <w:r w:rsidR="00250407" w:rsidRPr="00015461">
        <w:rPr>
          <w:rFonts w:ascii="Times New Roman" w:hAnsi="Times New Roman" w:cs="Times New Roman"/>
          <w:i/>
          <w:iCs/>
          <w:sz w:val="22"/>
          <w:szCs w:val="22"/>
          <w:lang w:val="es-ES_tradnl" w:eastAsia="es-ES_tradnl"/>
        </w:rPr>
        <w:t>c</w:t>
      </w:r>
      <w:r w:rsidRPr="00015461">
        <w:rPr>
          <w:rFonts w:ascii="Times New Roman" w:hAnsi="Times New Roman" w:cs="Times New Roman"/>
          <w:i/>
          <w:iCs/>
          <w:sz w:val="22"/>
          <w:szCs w:val="22"/>
          <w:lang w:val="es-ES_tradnl" w:eastAsia="es-ES_tradnl"/>
        </w:rPr>
        <w:t xml:space="preserve">asos, en proyectos, memorias y otros documentos técnicos, y valoradas </w:t>
      </w:r>
      <w:r w:rsidR="00250407" w:rsidRPr="00015461">
        <w:rPr>
          <w:rFonts w:ascii="Times New Roman" w:hAnsi="Times New Roman" w:cs="Times New Roman"/>
          <w:i/>
          <w:iCs/>
          <w:sz w:val="22"/>
          <w:szCs w:val="22"/>
          <w:lang w:val="es-ES_tradnl" w:eastAsia="es-ES_tradnl"/>
        </w:rPr>
        <w:t>en su correspondiente presupues</w:t>
      </w:r>
      <w:r w:rsidRPr="00015461">
        <w:rPr>
          <w:rFonts w:ascii="Times New Roman" w:hAnsi="Times New Roman" w:cs="Times New Roman"/>
          <w:i/>
          <w:iCs/>
          <w:sz w:val="22"/>
          <w:szCs w:val="22"/>
          <w:lang w:val="es-ES_tradnl" w:eastAsia="es-ES_tradnl"/>
        </w:rPr>
        <w:t xml:space="preserve">to, de acuerdo con las tarifas </w:t>
      </w:r>
      <w:r w:rsidR="00250407" w:rsidRPr="00015461">
        <w:rPr>
          <w:rFonts w:ascii="Times New Roman" w:hAnsi="Times New Roman" w:cs="Times New Roman"/>
          <w:i/>
          <w:iCs/>
          <w:sz w:val="22"/>
          <w:szCs w:val="22"/>
          <w:lang w:val="es-ES_tradnl" w:eastAsia="es-ES_tradnl"/>
        </w:rPr>
        <w:t>o retribuciones fijadas por el Ayuntamiento.</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 xml:space="preserve">Antes de formular el encargo, los </w:t>
      </w:r>
      <w:r w:rsidR="00F400A9" w:rsidRPr="00015461">
        <w:rPr>
          <w:rFonts w:ascii="Times New Roman" w:hAnsi="Times New Roman" w:cs="Times New Roman"/>
          <w:i/>
          <w:iCs/>
          <w:sz w:val="22"/>
          <w:szCs w:val="22"/>
          <w:lang w:val="es-ES_tradnl" w:eastAsia="es-ES_tradnl"/>
        </w:rPr>
        <w:t xml:space="preserve">órganos competentes aprobarán </w:t>
      </w:r>
      <w:r w:rsidRPr="00015461">
        <w:rPr>
          <w:rFonts w:ascii="Times New Roman" w:hAnsi="Times New Roman" w:cs="Times New Roman"/>
          <w:i/>
          <w:iCs/>
          <w:sz w:val="22"/>
          <w:szCs w:val="22"/>
          <w:lang w:val="es-ES_tradnl" w:eastAsia="es-ES_tradnl"/>
        </w:rPr>
        <w:t>dichos</w:t>
      </w:r>
      <w:r w:rsidR="00F400A9" w:rsidRPr="00015461">
        <w:rPr>
          <w:rFonts w:ascii="Times New Roman" w:hAnsi="Times New Roman" w:cs="Times New Roman"/>
          <w:i/>
          <w:iCs/>
          <w:sz w:val="22"/>
          <w:szCs w:val="22"/>
          <w:lang w:val="es-ES_tradnl" w:eastAsia="es-ES_tradnl"/>
        </w:rPr>
        <w:t xml:space="preserve"> documentos y realizarán los preceptivos trámites técnicos, jurídicos, presupuestarios y de control y aprobación del gasto. El </w:t>
      </w:r>
      <w:r w:rsidR="008005F7" w:rsidRPr="00015461">
        <w:rPr>
          <w:rFonts w:ascii="Times New Roman" w:hAnsi="Times New Roman" w:cs="Times New Roman"/>
          <w:i/>
          <w:iCs/>
          <w:sz w:val="22"/>
          <w:szCs w:val="22"/>
          <w:lang w:val="es-ES_tradnl" w:eastAsia="es-ES_tradnl"/>
        </w:rPr>
        <w:t>encargo de cada actuación obligatoria adoptará la forma de Acuerdo o Resolución del órgano competente</w:t>
      </w:r>
      <w:r w:rsidRPr="00015461">
        <w:rPr>
          <w:rFonts w:ascii="Times New Roman" w:hAnsi="Times New Roman" w:cs="Times New Roman"/>
          <w:i/>
          <w:iCs/>
          <w:sz w:val="22"/>
          <w:szCs w:val="22"/>
          <w:lang w:val="es-ES_tradnl" w:eastAsia="es-ES_tradnl"/>
        </w:rPr>
        <w:t xml:space="preserve"> y, sin perjuicio de las publicac</w:t>
      </w:r>
      <w:r w:rsidR="008005F7" w:rsidRPr="00015461">
        <w:rPr>
          <w:rFonts w:ascii="Times New Roman" w:hAnsi="Times New Roman" w:cs="Times New Roman"/>
          <w:i/>
          <w:iCs/>
          <w:sz w:val="22"/>
          <w:szCs w:val="22"/>
          <w:lang w:val="es-ES_tradnl" w:eastAsia="es-ES_tradnl"/>
        </w:rPr>
        <w:t xml:space="preserve">iones que legalmente procedan, se comunicará formalmente por </w:t>
      </w:r>
      <w:r w:rsidRPr="00015461">
        <w:rPr>
          <w:rFonts w:ascii="Times New Roman" w:hAnsi="Times New Roman" w:cs="Times New Roman"/>
          <w:i/>
          <w:iCs/>
          <w:sz w:val="22"/>
          <w:szCs w:val="22"/>
          <w:lang w:val="es-ES_tradnl" w:eastAsia="es-ES_tradnl"/>
        </w:rPr>
        <w:t>la Administración a la Sociedad</w:t>
      </w:r>
      <w:r w:rsidR="008005F7" w:rsidRPr="00015461">
        <w:rPr>
          <w:rFonts w:ascii="Times New Roman" w:hAnsi="Times New Roman" w:cs="Times New Roman"/>
          <w:i/>
          <w:iCs/>
          <w:sz w:val="22"/>
          <w:szCs w:val="22"/>
          <w:lang w:val="es-ES_tradnl" w:eastAsia="es-ES_tradnl"/>
        </w:rPr>
        <w:t xml:space="preserve"> Municipal haciendo constar, además de los antecedentes </w:t>
      </w:r>
      <w:r w:rsidRPr="00015461">
        <w:rPr>
          <w:rFonts w:ascii="Times New Roman" w:hAnsi="Times New Roman" w:cs="Times New Roman"/>
          <w:i/>
          <w:iCs/>
          <w:sz w:val="22"/>
          <w:szCs w:val="22"/>
          <w:lang w:val="es-ES_tradnl" w:eastAsia="es-ES_tradnl"/>
        </w:rPr>
        <w:t>que procedan, la denominac</w:t>
      </w:r>
      <w:r w:rsidR="008005F7" w:rsidRPr="00015461">
        <w:rPr>
          <w:rFonts w:ascii="Times New Roman" w:hAnsi="Times New Roman" w:cs="Times New Roman"/>
          <w:i/>
          <w:iCs/>
          <w:sz w:val="22"/>
          <w:szCs w:val="22"/>
          <w:lang w:val="es-ES_tradnl" w:eastAsia="es-ES_tradnl"/>
        </w:rPr>
        <w:t xml:space="preserve">ión de la misma, el plazo de realización, </w:t>
      </w:r>
      <w:r w:rsidRPr="00015461">
        <w:rPr>
          <w:rFonts w:ascii="Times New Roman" w:hAnsi="Times New Roman" w:cs="Times New Roman"/>
          <w:i/>
          <w:iCs/>
          <w:sz w:val="22"/>
          <w:szCs w:val="22"/>
          <w:lang w:val="es-ES_tradnl" w:eastAsia="es-ES_tradnl"/>
        </w:rPr>
        <w:t>su</w:t>
      </w:r>
      <w:r w:rsidR="008005F7" w:rsidRPr="00015461">
        <w:rPr>
          <w:rFonts w:ascii="Times New Roman" w:hAnsi="Times New Roman" w:cs="Times New Roman"/>
          <w:i/>
          <w:iCs/>
          <w:sz w:val="22"/>
          <w:szCs w:val="22"/>
          <w:lang w:val="es-ES_tradnl" w:eastAsia="es-ES_tradnl"/>
        </w:rPr>
        <w:t xml:space="preserve"> importe, la </w:t>
      </w:r>
      <w:r w:rsidRPr="00015461">
        <w:rPr>
          <w:rFonts w:ascii="Times New Roman" w:hAnsi="Times New Roman" w:cs="Times New Roman"/>
          <w:i/>
          <w:iCs/>
          <w:sz w:val="22"/>
          <w:szCs w:val="22"/>
          <w:lang w:val="es-ES_tradnl" w:eastAsia="es-ES_tradnl"/>
        </w:rPr>
        <w:t>aplicación presupuestaria correspondiente y</w:t>
      </w:r>
      <w:r w:rsidR="008005F7" w:rsidRPr="00015461">
        <w:rPr>
          <w:rFonts w:ascii="Times New Roman" w:hAnsi="Times New Roman" w:cs="Times New Roman"/>
          <w:i/>
          <w:iCs/>
          <w:sz w:val="22"/>
          <w:szCs w:val="22"/>
          <w:lang w:val="es-ES_tradnl" w:eastAsia="es-ES_tradnl"/>
        </w:rPr>
        <w:t xml:space="preserve">, en su caso, las anualidades en que se financie con    sus respectivas cuantías, así como el responsable técnico designado para </w:t>
      </w:r>
      <w:r w:rsidRPr="00015461">
        <w:rPr>
          <w:rFonts w:ascii="Times New Roman" w:hAnsi="Times New Roman" w:cs="Times New Roman"/>
          <w:i/>
          <w:iCs/>
          <w:sz w:val="22"/>
          <w:szCs w:val="22"/>
          <w:lang w:val="es-ES_tradnl" w:eastAsia="es-ES_tradnl"/>
        </w:rPr>
        <w:t>cada  actuación.  En  su caso, también le será facilitado el documento en que se defina  dicha actuación.</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La Sociedad Municipal so</w:t>
      </w:r>
      <w:r w:rsidR="00C74FA1" w:rsidRPr="00015461">
        <w:rPr>
          <w:rFonts w:ascii="Times New Roman" w:hAnsi="Times New Roman" w:cs="Times New Roman"/>
          <w:i/>
          <w:iCs/>
          <w:sz w:val="22"/>
          <w:szCs w:val="22"/>
          <w:lang w:val="es-ES_tradnl" w:eastAsia="es-ES_tradnl"/>
        </w:rPr>
        <w:t>meterá los contratos necesarios para ejecutar</w:t>
      </w:r>
      <w:r w:rsidRPr="00015461">
        <w:rPr>
          <w:rFonts w:ascii="Times New Roman" w:hAnsi="Times New Roman" w:cs="Times New Roman"/>
          <w:i/>
          <w:iCs/>
          <w:sz w:val="22"/>
          <w:szCs w:val="22"/>
          <w:lang w:val="es-ES_tradnl" w:eastAsia="es-ES_tradnl"/>
        </w:rPr>
        <w:t xml:space="preserve"> los </w:t>
      </w:r>
      <w:r w:rsidR="00C74FA1" w:rsidRPr="00015461">
        <w:rPr>
          <w:rFonts w:ascii="Times New Roman" w:hAnsi="Times New Roman" w:cs="Times New Roman"/>
          <w:i/>
          <w:iCs/>
          <w:sz w:val="22"/>
          <w:szCs w:val="22"/>
          <w:lang w:val="es-ES_tradnl" w:eastAsia="es-ES_tradnl"/>
        </w:rPr>
        <w:t xml:space="preserve">encargos a las  prescripciones de la Ley de </w:t>
      </w:r>
      <w:r w:rsidRPr="00015461">
        <w:rPr>
          <w:rFonts w:ascii="Times New Roman" w:hAnsi="Times New Roman" w:cs="Times New Roman"/>
          <w:i/>
          <w:iCs/>
          <w:sz w:val="22"/>
          <w:szCs w:val="22"/>
          <w:lang w:val="es-ES_tradnl" w:eastAsia="es-ES_tradnl"/>
        </w:rPr>
        <w:t>Contratos del Sector Público.</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Finalizada la actuación, se real</w:t>
      </w:r>
      <w:r w:rsidR="00C74FA1" w:rsidRPr="00015461">
        <w:rPr>
          <w:rFonts w:ascii="Times New Roman" w:hAnsi="Times New Roman" w:cs="Times New Roman"/>
          <w:i/>
          <w:iCs/>
          <w:sz w:val="22"/>
          <w:szCs w:val="22"/>
          <w:lang w:val="es-ES_tradnl" w:eastAsia="es-ES_tradnl"/>
        </w:rPr>
        <w:t xml:space="preserve">izará </w:t>
      </w:r>
      <w:r w:rsidRPr="00015461">
        <w:rPr>
          <w:rFonts w:ascii="Times New Roman" w:hAnsi="Times New Roman" w:cs="Times New Roman"/>
          <w:i/>
          <w:iCs/>
          <w:sz w:val="22"/>
          <w:szCs w:val="22"/>
          <w:lang w:val="es-ES_tradnl" w:eastAsia="es-ES_tradnl"/>
        </w:rPr>
        <w:t>su reconocimiento y comprobación en los términos legalmente establecidos, extendiéndose el document</w:t>
      </w:r>
      <w:r w:rsidR="00C74FA1" w:rsidRPr="00015461">
        <w:rPr>
          <w:rFonts w:ascii="Times New Roman" w:hAnsi="Times New Roman" w:cs="Times New Roman"/>
          <w:i/>
          <w:iCs/>
          <w:sz w:val="22"/>
          <w:szCs w:val="22"/>
          <w:lang w:val="es-ES_tradnl" w:eastAsia="es-ES_tradnl"/>
        </w:rPr>
        <w:t>o correspondiente y procediendo</w:t>
      </w:r>
      <w:r w:rsidRPr="00015461">
        <w:rPr>
          <w:rFonts w:ascii="Times New Roman" w:hAnsi="Times New Roman" w:cs="Times New Roman"/>
          <w:i/>
          <w:iCs/>
          <w:sz w:val="22"/>
          <w:szCs w:val="22"/>
          <w:lang w:val="es-ES_tradnl" w:eastAsia="es-ES_tradnl"/>
        </w:rPr>
        <w:t xml:space="preserve"> su liquidació</w:t>
      </w:r>
      <w:r w:rsidR="00C74FA1" w:rsidRPr="00015461">
        <w:rPr>
          <w:rFonts w:ascii="Times New Roman" w:hAnsi="Times New Roman" w:cs="Times New Roman"/>
          <w:i/>
          <w:iCs/>
          <w:sz w:val="22"/>
          <w:szCs w:val="22"/>
          <w:lang w:val="es-ES_tradnl" w:eastAsia="es-ES_tradnl"/>
        </w:rPr>
        <w:t xml:space="preserve">n en el plazo de los seis </w:t>
      </w:r>
      <w:r w:rsidRPr="00015461">
        <w:rPr>
          <w:rFonts w:ascii="Times New Roman" w:hAnsi="Times New Roman" w:cs="Times New Roman"/>
          <w:i/>
          <w:iCs/>
          <w:sz w:val="22"/>
          <w:szCs w:val="22"/>
          <w:lang w:val="es-ES_tradnl" w:eastAsia="es-ES_tradnl"/>
        </w:rPr>
        <w:t>meses siguientes.</w:t>
      </w:r>
    </w:p>
    <w:p w:rsidR="00250407" w:rsidRPr="00015461"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rsidR="00250407" w:rsidRPr="00015461" w:rsidRDefault="00C74FA1" w:rsidP="00250407">
      <w:pPr>
        <w:shd w:val="clear" w:color="auto" w:fill="FFFFFF"/>
        <w:ind w:left="2127" w:right="29"/>
        <w:jc w:val="both"/>
        <w:rPr>
          <w:rFonts w:ascii="Times New Roman" w:hAnsi="Times New Roman" w:cs="Times New Roman"/>
          <w:i/>
          <w:iCs/>
          <w:sz w:val="22"/>
          <w:szCs w:val="22"/>
          <w:lang w:val="es-ES_tradnl" w:eastAsia="es-ES_tradnl"/>
        </w:rPr>
      </w:pPr>
      <w:r w:rsidRPr="00015461">
        <w:rPr>
          <w:rFonts w:ascii="Times New Roman" w:hAnsi="Times New Roman" w:cs="Times New Roman"/>
          <w:i/>
          <w:iCs/>
          <w:sz w:val="22"/>
          <w:szCs w:val="22"/>
          <w:lang w:val="es-ES_tradnl" w:eastAsia="es-ES_tradnl"/>
        </w:rPr>
        <w:t xml:space="preserve">En ningún caso la </w:t>
      </w:r>
      <w:r w:rsidR="00250407" w:rsidRPr="00015461">
        <w:rPr>
          <w:rFonts w:ascii="Times New Roman" w:hAnsi="Times New Roman" w:cs="Times New Roman"/>
          <w:i/>
          <w:iCs/>
          <w:sz w:val="22"/>
          <w:szCs w:val="22"/>
          <w:lang w:val="es-ES_tradnl" w:eastAsia="es-ES_tradnl"/>
        </w:rPr>
        <w:t>Sociedad Municipal podrá particip</w:t>
      </w:r>
      <w:r w:rsidRPr="00015461">
        <w:rPr>
          <w:rFonts w:ascii="Times New Roman" w:hAnsi="Times New Roman" w:cs="Times New Roman"/>
          <w:i/>
          <w:iCs/>
          <w:sz w:val="22"/>
          <w:szCs w:val="22"/>
          <w:lang w:val="es-ES_tradnl" w:eastAsia="es-ES_tradnl"/>
        </w:rPr>
        <w:t xml:space="preserve">ar en </w:t>
      </w:r>
      <w:r w:rsidR="00250407" w:rsidRPr="00015461">
        <w:rPr>
          <w:rFonts w:ascii="Times New Roman" w:hAnsi="Times New Roman" w:cs="Times New Roman"/>
          <w:i/>
          <w:iCs/>
          <w:sz w:val="22"/>
          <w:szCs w:val="22"/>
          <w:lang w:val="es-ES_tradnl" w:eastAsia="es-ES_tradnl"/>
        </w:rPr>
        <w:t>aquellas licitaciones púb</w:t>
      </w:r>
      <w:r w:rsidRPr="00015461">
        <w:rPr>
          <w:rFonts w:ascii="Times New Roman" w:hAnsi="Times New Roman" w:cs="Times New Roman"/>
          <w:i/>
          <w:iCs/>
          <w:sz w:val="22"/>
          <w:szCs w:val="22"/>
          <w:lang w:val="es-ES_tradnl" w:eastAsia="es-ES_tradnl"/>
        </w:rPr>
        <w:t xml:space="preserve">licas convocadas por su poder adjudicador, sin perjuicio </w:t>
      </w:r>
      <w:r w:rsidR="00250407" w:rsidRPr="00015461">
        <w:rPr>
          <w:rFonts w:ascii="Times New Roman" w:hAnsi="Times New Roman" w:cs="Times New Roman"/>
          <w:i/>
          <w:iCs/>
          <w:sz w:val="22"/>
          <w:szCs w:val="22"/>
          <w:lang w:val="es-ES_tradnl" w:eastAsia="es-ES_tradnl"/>
        </w:rPr>
        <w:t>de que, cuando no  concurra ningún licitador, el Ayuntamiento de Las Palmas de Gran Canaria decida hacer el encargo de la ejecución de la prestación a la Sociedad Municipal.”</w:t>
      </w:r>
    </w:p>
    <w:p w:rsidR="00250407" w:rsidRPr="00015461" w:rsidRDefault="00250407" w:rsidP="00250407">
      <w:pPr>
        <w:shd w:val="clear" w:color="auto" w:fill="FFFFFF"/>
        <w:ind w:left="720" w:right="29"/>
        <w:jc w:val="both"/>
        <w:rPr>
          <w:rFonts w:ascii="Times New Roman" w:hAnsi="Times New Roman" w:cs="Times New Roman"/>
          <w:sz w:val="22"/>
          <w:szCs w:val="22"/>
          <w:lang w:val="es-ES_tradnl" w:eastAsia="es-ES_tradnl"/>
        </w:rPr>
      </w:pPr>
    </w:p>
    <w:p w:rsidR="006C0067" w:rsidRDefault="006C0067" w:rsidP="006C0067">
      <w:pPr>
        <w:shd w:val="clear" w:color="auto" w:fill="FFFFFF"/>
        <w:ind w:left="720" w:right="29"/>
        <w:jc w:val="both"/>
        <w:rPr>
          <w:rFonts w:ascii="Times New Roman" w:hAnsi="Times New Roman" w:cs="Times New Roman"/>
          <w:spacing w:val="-2"/>
          <w:sz w:val="22"/>
          <w:szCs w:val="22"/>
          <w:lang w:val="es-ES_tradnl" w:eastAsia="es-ES_tradnl"/>
        </w:rPr>
      </w:pPr>
      <w:r w:rsidRPr="00015461">
        <w:rPr>
          <w:rFonts w:ascii="Times New Roman" w:hAnsi="Times New Roman" w:cs="Times New Roman"/>
          <w:sz w:val="22"/>
          <w:szCs w:val="22"/>
          <w:lang w:val="es-ES_tradnl" w:eastAsia="es-ES_tradnl"/>
        </w:rPr>
        <w:t xml:space="preserve">La moneda funcional de la Sociedad es el euro. Consecuentemente, las operaciones en </w:t>
      </w:r>
      <w:r w:rsidRPr="00015461">
        <w:rPr>
          <w:rFonts w:ascii="Times New Roman" w:hAnsi="Times New Roman" w:cs="Times New Roman"/>
          <w:spacing w:val="-2"/>
          <w:sz w:val="22"/>
          <w:szCs w:val="22"/>
          <w:lang w:val="es-ES_tradnl" w:eastAsia="es-ES_tradnl"/>
        </w:rPr>
        <w:t>otras divisas distintas del euro se consideran denominadas en "moneda extranjera".</w:t>
      </w:r>
    </w:p>
    <w:p w:rsidR="006C0067" w:rsidRPr="00FD2A35" w:rsidRDefault="006C0067" w:rsidP="0070122B">
      <w:pPr>
        <w:shd w:val="clear" w:color="auto" w:fill="FFFFFF"/>
        <w:tabs>
          <w:tab w:val="left" w:pos="709"/>
          <w:tab w:val="left" w:pos="993"/>
          <w:tab w:val="left" w:pos="8820"/>
        </w:tabs>
        <w:spacing w:before="522"/>
        <w:ind w:left="709"/>
        <w:jc w:val="both"/>
        <w:rPr>
          <w:rFonts w:ascii="Times New Roman" w:hAnsi="Times New Roman" w:cs="Times New Roman"/>
          <w:sz w:val="22"/>
          <w:szCs w:val="22"/>
        </w:rPr>
      </w:pPr>
      <w:r w:rsidRPr="00FD2A35">
        <w:rPr>
          <w:rFonts w:ascii="Times New Roman" w:hAnsi="Times New Roman" w:cs="Times New Roman"/>
          <w:b/>
          <w:bCs/>
          <w:spacing w:val="-4"/>
          <w:sz w:val="22"/>
          <w:szCs w:val="22"/>
          <w:lang w:val="es-ES_tradnl" w:eastAsia="es-ES_tradnl"/>
        </w:rPr>
        <w:t xml:space="preserve">2. </w:t>
      </w:r>
      <w:r w:rsidRPr="00FD2A35">
        <w:rPr>
          <w:rFonts w:ascii="Times New Roman" w:hAnsi="Times New Roman" w:cs="Times New Roman"/>
          <w:b/>
          <w:bCs/>
          <w:spacing w:val="-4"/>
          <w:sz w:val="22"/>
          <w:szCs w:val="22"/>
          <w:u w:val="double"/>
          <w:lang w:val="es-ES_tradnl" w:eastAsia="es-ES_tradnl"/>
        </w:rPr>
        <w:t>BASES DE PRESENTACIÓN DE LAS CUENTAS ANUALES</w:t>
      </w:r>
      <w:r w:rsidRPr="00FD2A35">
        <w:rPr>
          <w:rFonts w:ascii="Times New Roman" w:hAnsi="Times New Roman" w:cs="Times New Roman"/>
          <w:b/>
          <w:bCs/>
          <w:spacing w:val="-4"/>
          <w:sz w:val="22"/>
          <w:szCs w:val="22"/>
          <w:lang w:val="es-ES_tradnl" w:eastAsia="es-ES_tradnl"/>
        </w:rPr>
        <w:tab/>
      </w:r>
    </w:p>
    <w:p w:rsidR="007D08CD" w:rsidRPr="00FD2A35" w:rsidRDefault="007D08CD" w:rsidP="007D08CD">
      <w:pPr>
        <w:shd w:val="clear" w:color="auto" w:fill="FFFFFF"/>
        <w:tabs>
          <w:tab w:val="left" w:pos="1134"/>
        </w:tabs>
        <w:spacing w:line="360" w:lineRule="auto"/>
        <w:ind w:left="709"/>
        <w:jc w:val="both"/>
        <w:rPr>
          <w:rFonts w:ascii="Times New Roman" w:hAnsi="Times New Roman" w:cs="Times New Roman"/>
          <w:b/>
          <w:bCs/>
          <w:spacing w:val="-6"/>
          <w:sz w:val="22"/>
          <w:szCs w:val="22"/>
          <w:lang w:val="es-ES_tradnl" w:eastAsia="es-ES_tradnl"/>
        </w:rPr>
      </w:pPr>
    </w:p>
    <w:p w:rsidR="006C0067" w:rsidRPr="00FD2A35" w:rsidRDefault="006C0067" w:rsidP="007D08CD">
      <w:pPr>
        <w:shd w:val="clear" w:color="auto" w:fill="FFFFFF"/>
        <w:tabs>
          <w:tab w:val="left" w:pos="1134"/>
        </w:tabs>
        <w:spacing w:line="360" w:lineRule="auto"/>
        <w:ind w:left="709"/>
        <w:jc w:val="both"/>
        <w:rPr>
          <w:rFonts w:ascii="Times New Roman" w:hAnsi="Times New Roman" w:cs="Times New Roman"/>
          <w:b/>
          <w:bCs/>
          <w:spacing w:val="-6"/>
          <w:sz w:val="22"/>
          <w:szCs w:val="22"/>
          <w:lang w:val="es-ES_tradnl" w:eastAsia="es-ES_tradnl"/>
        </w:rPr>
      </w:pPr>
      <w:r w:rsidRPr="00FD2A35">
        <w:rPr>
          <w:rFonts w:ascii="Times New Roman" w:hAnsi="Times New Roman" w:cs="Times New Roman"/>
          <w:b/>
          <w:bCs/>
          <w:spacing w:val="-6"/>
          <w:sz w:val="22"/>
          <w:szCs w:val="22"/>
          <w:lang w:val="es-ES_tradnl" w:eastAsia="es-ES_tradnl"/>
        </w:rPr>
        <w:t>2.1</w:t>
      </w:r>
      <w:r w:rsidRPr="00FD2A35">
        <w:rPr>
          <w:rFonts w:ascii="Times New Roman" w:hAnsi="Times New Roman" w:cs="Times New Roman"/>
          <w:b/>
          <w:bCs/>
          <w:spacing w:val="-6"/>
          <w:sz w:val="22"/>
          <w:szCs w:val="22"/>
          <w:lang w:val="es-ES_tradnl" w:eastAsia="es-ES_tradnl"/>
        </w:rPr>
        <w:tab/>
        <w:t>Imagen fiel:</w:t>
      </w:r>
    </w:p>
    <w:p w:rsidR="007D08CD" w:rsidRDefault="007D08CD" w:rsidP="007D08CD">
      <w:pPr>
        <w:pStyle w:val="Default"/>
        <w:spacing w:after="240" w:line="276" w:lineRule="auto"/>
        <w:ind w:left="709"/>
        <w:jc w:val="both"/>
        <w:rPr>
          <w:rFonts w:ascii="Times New Roman" w:hAnsi="Times New Roman" w:cs="Times New Roman"/>
          <w:color w:val="auto"/>
          <w:sz w:val="22"/>
          <w:szCs w:val="22"/>
          <w:lang w:val="es-ES_tradnl" w:eastAsia="es-ES_tradnl"/>
        </w:rPr>
      </w:pPr>
      <w:r w:rsidRPr="00FD2A35">
        <w:rPr>
          <w:rFonts w:ascii="Times New Roman" w:hAnsi="Times New Roman" w:cs="Times New Roman"/>
          <w:color w:val="auto"/>
          <w:sz w:val="22"/>
          <w:szCs w:val="22"/>
          <w:lang w:val="es-ES_tradnl" w:eastAsia="es-ES_tradnl"/>
        </w:rPr>
        <w:t>Las cuentas anuales se han preparado a partir de los registros contables de la Sociedad y se presentan de acuerdo con la legislación mercantil vigente y</w:t>
      </w:r>
      <w:r w:rsidR="00FB3062">
        <w:rPr>
          <w:rFonts w:ascii="Times New Roman" w:hAnsi="Times New Roman" w:cs="Times New Roman"/>
          <w:color w:val="auto"/>
          <w:sz w:val="22"/>
          <w:szCs w:val="22"/>
          <w:lang w:val="es-ES_tradnl" w:eastAsia="es-ES_tradnl"/>
        </w:rPr>
        <w:t>, dado que es el primer ejercicio que cumple los requisitos legales cuentas anuales del presente ejercicio se han formulado en formato normal</w:t>
      </w:r>
      <w:r w:rsidRPr="00FD2A35">
        <w:rPr>
          <w:rFonts w:ascii="Times New Roman" w:hAnsi="Times New Roman" w:cs="Times New Roman"/>
          <w:color w:val="auto"/>
          <w:sz w:val="22"/>
          <w:szCs w:val="22"/>
          <w:lang w:val="es-ES_tradnl" w:eastAsia="es-ES_tradnl"/>
        </w:rPr>
        <w:t xml:space="preserve"> con las normas establecidas en el Plan General de Contabilidad, aprobado por el Real Decreto 1514/2007, de 16 de noviembre, por el que se aprueba el 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rsidR="00205A13" w:rsidRDefault="00205A13" w:rsidP="007D08CD">
      <w:pPr>
        <w:pStyle w:val="Default"/>
        <w:spacing w:after="240" w:line="276" w:lineRule="auto"/>
        <w:ind w:left="709"/>
        <w:jc w:val="both"/>
        <w:rPr>
          <w:rFonts w:ascii="Times New Roman" w:hAnsi="Times New Roman" w:cs="Times New Roman"/>
          <w:color w:val="auto"/>
          <w:sz w:val="22"/>
          <w:szCs w:val="22"/>
          <w:lang w:val="es-ES_tradnl" w:eastAsia="es-ES_tradnl"/>
        </w:rPr>
      </w:pPr>
    </w:p>
    <w:p w:rsidR="00205A13" w:rsidRPr="00FD2A35" w:rsidRDefault="00205A13" w:rsidP="007D08CD">
      <w:pPr>
        <w:pStyle w:val="Default"/>
        <w:spacing w:after="240" w:line="276" w:lineRule="auto"/>
        <w:ind w:left="709"/>
        <w:jc w:val="both"/>
        <w:rPr>
          <w:rFonts w:ascii="Times New Roman" w:hAnsi="Times New Roman" w:cs="Times New Roman"/>
          <w:color w:val="auto"/>
          <w:sz w:val="22"/>
          <w:szCs w:val="22"/>
          <w:lang w:val="es-ES_tradnl" w:eastAsia="es-ES_tradnl"/>
        </w:rPr>
      </w:pPr>
    </w:p>
    <w:p w:rsidR="006C0067" w:rsidRDefault="006C0067" w:rsidP="00FB3062">
      <w:pPr>
        <w:pStyle w:val="Default"/>
        <w:spacing w:after="240" w:line="276" w:lineRule="auto"/>
        <w:ind w:left="709"/>
        <w:jc w:val="both"/>
        <w:rPr>
          <w:rFonts w:ascii="Times New Roman" w:hAnsi="Times New Roman" w:cs="Times New Roman"/>
          <w:color w:val="auto"/>
          <w:sz w:val="22"/>
          <w:szCs w:val="22"/>
          <w:lang w:val="es-ES_tradnl" w:eastAsia="es-ES_tradnl"/>
        </w:rPr>
      </w:pPr>
      <w:r w:rsidRPr="00FB3062">
        <w:rPr>
          <w:rFonts w:ascii="Times New Roman" w:hAnsi="Times New Roman" w:cs="Times New Roman"/>
          <w:color w:val="auto"/>
          <w:sz w:val="22"/>
          <w:szCs w:val="22"/>
          <w:lang w:val="es-ES_tradnl" w:eastAsia="es-ES_tradnl"/>
        </w:rPr>
        <w:t>Estas cuentas anuales han sido formuladas por el Consejo de Administración y se someterán a la aprobación del Pleno del Ayuntamiento, estimándose que serán aprobadas sin modificación alguna.</w:t>
      </w:r>
    </w:p>
    <w:p w:rsidR="006A4953" w:rsidRPr="006A4953" w:rsidRDefault="006A4953" w:rsidP="006A4953">
      <w:pPr>
        <w:pStyle w:val="Default"/>
        <w:spacing w:after="240" w:line="276" w:lineRule="auto"/>
        <w:ind w:left="709"/>
        <w:jc w:val="both"/>
        <w:rPr>
          <w:rFonts w:ascii="Times New Roman" w:hAnsi="Times New Roman" w:cs="Times New Roman"/>
          <w:color w:val="auto"/>
          <w:sz w:val="22"/>
          <w:szCs w:val="22"/>
          <w:lang w:val="es-ES_tradnl" w:eastAsia="es-ES_tradnl"/>
        </w:rPr>
      </w:pPr>
      <w:r w:rsidRPr="006A4953">
        <w:rPr>
          <w:rFonts w:ascii="Times New Roman" w:hAnsi="Times New Roman" w:cs="Times New Roman"/>
          <w:color w:val="auto"/>
          <w:sz w:val="22"/>
          <w:szCs w:val="22"/>
          <w:lang w:val="es-ES_tradnl" w:eastAsia="es-ES_tradnl"/>
        </w:rPr>
        <w:t>Las cuentas anuales d</w:t>
      </w:r>
      <w:r w:rsidRPr="00601418">
        <w:rPr>
          <w:rFonts w:ascii="Times New Roman" w:hAnsi="Times New Roman" w:cs="Times New Roman"/>
          <w:color w:val="auto"/>
          <w:sz w:val="22"/>
          <w:szCs w:val="22"/>
          <w:lang w:val="es-ES_tradnl" w:eastAsia="es-ES_tradnl"/>
        </w:rPr>
        <w:t xml:space="preserve">el ejercicio 2019 fueron aprobadas por el Pleno del Excmo. Ayuntamiento de Las Palmas de Gran Canaria con fecha </w:t>
      </w:r>
      <w:r w:rsidR="00601418" w:rsidRPr="00601418">
        <w:rPr>
          <w:rFonts w:ascii="Times New Roman" w:hAnsi="Times New Roman" w:cs="Times New Roman"/>
          <w:color w:val="auto"/>
          <w:sz w:val="22"/>
          <w:szCs w:val="22"/>
          <w:lang w:val="es-ES_tradnl" w:eastAsia="es-ES_tradnl"/>
        </w:rPr>
        <w:t>07</w:t>
      </w:r>
      <w:r w:rsidRPr="00601418">
        <w:rPr>
          <w:rFonts w:ascii="Times New Roman" w:hAnsi="Times New Roman" w:cs="Times New Roman"/>
          <w:color w:val="auto"/>
          <w:sz w:val="22"/>
          <w:szCs w:val="22"/>
          <w:lang w:val="es-ES_tradnl" w:eastAsia="es-ES_tradnl"/>
        </w:rPr>
        <w:t xml:space="preserve"> de </w:t>
      </w:r>
      <w:r w:rsidR="00601418" w:rsidRPr="00601418">
        <w:rPr>
          <w:rFonts w:ascii="Times New Roman" w:hAnsi="Times New Roman" w:cs="Times New Roman"/>
          <w:color w:val="auto"/>
          <w:sz w:val="22"/>
          <w:szCs w:val="22"/>
          <w:lang w:val="es-ES_tradnl" w:eastAsia="es-ES_tradnl"/>
        </w:rPr>
        <w:t>julio</w:t>
      </w:r>
      <w:r w:rsidRPr="00601418">
        <w:rPr>
          <w:rFonts w:ascii="Times New Roman" w:hAnsi="Times New Roman" w:cs="Times New Roman"/>
          <w:color w:val="auto"/>
          <w:sz w:val="22"/>
          <w:szCs w:val="22"/>
          <w:lang w:val="es-ES_tradnl" w:eastAsia="es-ES_tradnl"/>
        </w:rPr>
        <w:t xml:space="preserve"> de 2020.</w:t>
      </w:r>
    </w:p>
    <w:p w:rsidR="006C0067" w:rsidRPr="00FD2A35" w:rsidRDefault="006C0067" w:rsidP="00A11014">
      <w:pPr>
        <w:shd w:val="clear" w:color="auto" w:fill="FFFFFF"/>
        <w:tabs>
          <w:tab w:val="left" w:pos="1134"/>
        </w:tabs>
        <w:spacing w:before="47" w:line="360" w:lineRule="auto"/>
        <w:ind w:left="709"/>
        <w:jc w:val="both"/>
        <w:rPr>
          <w:rFonts w:ascii="Times New Roman" w:hAnsi="Times New Roman" w:cs="Times New Roman"/>
          <w:sz w:val="22"/>
          <w:szCs w:val="22"/>
        </w:rPr>
      </w:pPr>
      <w:r w:rsidRPr="00FD2A35">
        <w:rPr>
          <w:rFonts w:ascii="Times New Roman" w:hAnsi="Times New Roman" w:cs="Times New Roman"/>
          <w:b/>
          <w:bCs/>
          <w:spacing w:val="-6"/>
          <w:sz w:val="22"/>
          <w:szCs w:val="22"/>
          <w:lang w:val="es-ES_tradnl" w:eastAsia="es-ES_tradnl"/>
        </w:rPr>
        <w:t>2.2</w:t>
      </w:r>
      <w:r w:rsidRPr="00FD2A35">
        <w:rPr>
          <w:rFonts w:ascii="Times New Roman" w:hAnsi="Times New Roman" w:cs="Times New Roman"/>
          <w:b/>
          <w:bCs/>
          <w:sz w:val="22"/>
          <w:szCs w:val="22"/>
          <w:lang w:val="es-ES_tradnl" w:eastAsia="es-ES_tradnl"/>
        </w:rPr>
        <w:tab/>
      </w:r>
      <w:r w:rsidRPr="00FD2A35">
        <w:rPr>
          <w:rFonts w:ascii="Times New Roman" w:hAnsi="Times New Roman" w:cs="Times New Roman"/>
          <w:b/>
          <w:bCs/>
          <w:spacing w:val="-3"/>
          <w:sz w:val="22"/>
          <w:szCs w:val="22"/>
          <w:lang w:val="es-ES_tradnl" w:eastAsia="es-ES_tradnl"/>
        </w:rPr>
        <w:t>Principios contables no obligatorios aplicados:</w:t>
      </w:r>
    </w:p>
    <w:p w:rsidR="006C0067" w:rsidRPr="00FD2A35" w:rsidRDefault="006C0067" w:rsidP="006C0067">
      <w:pPr>
        <w:shd w:val="clear" w:color="auto" w:fill="FFFFFF"/>
        <w:spacing w:line="360" w:lineRule="auto"/>
        <w:ind w:firstLine="708"/>
        <w:jc w:val="both"/>
        <w:rPr>
          <w:rFonts w:ascii="Times New Roman" w:hAnsi="Times New Roman" w:cs="Times New Roman"/>
          <w:spacing w:val="-3"/>
          <w:sz w:val="22"/>
          <w:szCs w:val="22"/>
          <w:lang w:val="es-ES_tradnl" w:eastAsia="es-ES_tradnl"/>
        </w:rPr>
      </w:pPr>
      <w:r w:rsidRPr="00FD2A35">
        <w:rPr>
          <w:rFonts w:ascii="Times New Roman" w:hAnsi="Times New Roman" w:cs="Times New Roman"/>
          <w:spacing w:val="-3"/>
          <w:sz w:val="22"/>
          <w:szCs w:val="22"/>
          <w:lang w:val="es-ES_tradnl" w:eastAsia="es-ES_tradnl"/>
        </w:rPr>
        <w:t>No se han aplicado principios contables no obligatorios.</w:t>
      </w:r>
    </w:p>
    <w:p w:rsidR="006C0067" w:rsidRPr="00FD2A35" w:rsidRDefault="006C0067" w:rsidP="006C0067">
      <w:pPr>
        <w:shd w:val="clear" w:color="auto" w:fill="FFFFFF"/>
        <w:ind w:left="1948" w:firstLine="720"/>
        <w:jc w:val="both"/>
        <w:rPr>
          <w:rFonts w:ascii="Times New Roman" w:hAnsi="Times New Roman" w:cs="Times New Roman"/>
          <w:sz w:val="22"/>
          <w:szCs w:val="22"/>
        </w:rPr>
      </w:pPr>
    </w:p>
    <w:p w:rsidR="00487A36" w:rsidRPr="001142DA" w:rsidRDefault="00487A36" w:rsidP="00487A36">
      <w:pPr>
        <w:shd w:val="clear" w:color="auto" w:fill="FFFFFF"/>
        <w:spacing w:before="4"/>
        <w:ind w:left="709"/>
        <w:jc w:val="both"/>
        <w:rPr>
          <w:rFonts w:ascii="Times New Roman" w:hAnsi="Times New Roman" w:cs="Times New Roman"/>
          <w:sz w:val="22"/>
          <w:szCs w:val="22"/>
        </w:rPr>
      </w:pPr>
      <w:r w:rsidRPr="001142DA">
        <w:rPr>
          <w:rFonts w:ascii="Times New Roman" w:hAnsi="Times New Roman" w:cs="Times New Roman"/>
          <w:b/>
          <w:bCs/>
          <w:spacing w:val="-5"/>
          <w:sz w:val="22"/>
          <w:szCs w:val="22"/>
          <w:lang w:val="es-ES_tradnl" w:eastAsia="es-ES_tradnl"/>
        </w:rPr>
        <w:t>2.3</w:t>
      </w:r>
      <w:r w:rsidRPr="001142DA">
        <w:rPr>
          <w:rFonts w:ascii="Times New Roman" w:hAnsi="Times New Roman" w:cs="Times New Roman"/>
          <w:b/>
          <w:bCs/>
          <w:sz w:val="22"/>
          <w:szCs w:val="22"/>
          <w:lang w:val="es-ES_tradnl" w:eastAsia="es-ES_tradnl"/>
        </w:rPr>
        <w:t xml:space="preserve">   </w:t>
      </w:r>
      <w:r w:rsidRPr="001142DA">
        <w:rPr>
          <w:rFonts w:ascii="Times New Roman" w:hAnsi="Times New Roman" w:cs="Times New Roman"/>
          <w:b/>
          <w:bCs/>
          <w:spacing w:val="-3"/>
          <w:sz w:val="22"/>
          <w:szCs w:val="22"/>
          <w:lang w:val="es-ES_tradnl" w:eastAsia="es-ES_tradnl"/>
        </w:rPr>
        <w:t>Aspectos críticos de la valoración y estimación de la incertidumbre:</w:t>
      </w:r>
    </w:p>
    <w:p w:rsidR="00487A36" w:rsidRPr="001142DA" w:rsidRDefault="00487A36" w:rsidP="00487A36">
      <w:pPr>
        <w:shd w:val="clear" w:color="auto" w:fill="FFFFFF"/>
        <w:spacing w:before="173"/>
        <w:ind w:left="720" w:right="6"/>
        <w:jc w:val="both"/>
        <w:rPr>
          <w:rFonts w:ascii="Times New Roman" w:hAnsi="Times New Roman" w:cs="Times New Roman"/>
          <w:spacing w:val="-2"/>
          <w:sz w:val="22"/>
          <w:szCs w:val="22"/>
          <w:lang w:val="es-ES_tradnl" w:eastAsia="es-ES_tradnl"/>
        </w:rPr>
      </w:pPr>
      <w:r w:rsidRPr="001142DA">
        <w:rPr>
          <w:rFonts w:ascii="Times New Roman" w:hAnsi="Times New Roman" w:cs="Times New Roman"/>
          <w:spacing w:val="-2"/>
          <w:sz w:val="22"/>
          <w:szCs w:val="22"/>
          <w:lang w:val="es-ES_tradnl" w:eastAsia="es-ES_tradnl"/>
        </w:rPr>
        <w:t xml:space="preserve">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w:t>
      </w:r>
      <w:r w:rsidRPr="001142DA">
        <w:rPr>
          <w:rFonts w:ascii="Times New Roman" w:hAnsi="Times New Roman" w:cs="Times New Roman"/>
          <w:spacing w:val="-3"/>
          <w:sz w:val="22"/>
          <w:szCs w:val="22"/>
          <w:lang w:val="es-ES_tradnl" w:eastAsia="es-ES_tradnl"/>
        </w:rPr>
        <w:t xml:space="preserve">formular las cuentas anuales requieran modificar estas </w:t>
      </w:r>
      <w:r w:rsidRPr="001142DA">
        <w:rPr>
          <w:rFonts w:ascii="Times New Roman" w:hAnsi="Times New Roman" w:cs="Times New Roman"/>
          <w:spacing w:val="-2"/>
          <w:sz w:val="22"/>
          <w:szCs w:val="22"/>
          <w:lang w:val="es-ES_tradnl" w:eastAsia="es-ES_tradnl"/>
        </w:rPr>
        <w:t>estimaciones en ejercicios futuros.</w:t>
      </w:r>
    </w:p>
    <w:p w:rsidR="00E54727" w:rsidRPr="00FD2A35" w:rsidRDefault="00E54727" w:rsidP="00E54727">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FD2A35">
        <w:rPr>
          <w:rFonts w:ascii="Times New Roman" w:hAnsi="Times New Roman" w:cs="Times New Roman"/>
          <w:spacing w:val="-1"/>
          <w:sz w:val="22"/>
          <w:szCs w:val="22"/>
          <w:lang w:val="es-ES_tradnl" w:eastAsia="es-ES_tradnl"/>
        </w:rPr>
        <w:t>La Sociedad ha elaborado las cuentas anuales del ejercicio 20</w:t>
      </w:r>
      <w:r w:rsidR="00FD2A35" w:rsidRPr="00FD2A35">
        <w:rPr>
          <w:rFonts w:ascii="Times New Roman" w:hAnsi="Times New Roman" w:cs="Times New Roman"/>
          <w:spacing w:val="-1"/>
          <w:sz w:val="22"/>
          <w:szCs w:val="22"/>
          <w:lang w:val="es-ES_tradnl" w:eastAsia="es-ES_tradnl"/>
        </w:rPr>
        <w:t>20</w:t>
      </w:r>
      <w:r w:rsidRPr="00FD2A35">
        <w:rPr>
          <w:rFonts w:ascii="Times New Roman" w:hAnsi="Times New Roman" w:cs="Times New Roman"/>
          <w:spacing w:val="-1"/>
          <w:sz w:val="22"/>
          <w:szCs w:val="22"/>
          <w:lang w:val="es-ES_tradnl" w:eastAsia="es-ES_tradnl"/>
        </w:rPr>
        <w:t xml:space="preserve"> bajo el principio de empresa en funcionamiento, habiendo tenido en consideración la situación actual del COVID-19 así como sus posibles efectos en la economía en general y en su entidad en particular, no existiendo riesgo para la continuidad de su actividad</w:t>
      </w:r>
      <w:r w:rsidR="00B769D6">
        <w:rPr>
          <w:rFonts w:ascii="Times New Roman" w:hAnsi="Times New Roman" w:cs="Times New Roman"/>
          <w:spacing w:val="-1"/>
          <w:sz w:val="22"/>
          <w:szCs w:val="22"/>
          <w:lang w:val="es-ES_tradnl" w:eastAsia="es-ES_tradnl"/>
        </w:rPr>
        <w:t>.</w:t>
      </w:r>
    </w:p>
    <w:p w:rsidR="009344BE" w:rsidRPr="009344BE"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En las cuentas anuales adjuntas se ha utilizado estimaciones realizadas por la Dirección de la Sociedad para cuantificar los activos, pasivos, ingresos, gastos y compromisos que figuran registrados en ella, que en su caso se describirán a lo largo de la presente memoria.</w:t>
      </w:r>
    </w:p>
    <w:p w:rsidR="009344BE" w:rsidRPr="009344BE"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Básicamente, estas estimaciones se refieren a:</w:t>
      </w:r>
    </w:p>
    <w:p w:rsidR="009344BE" w:rsidRPr="009344BE"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Vida útil de los activos materiales e  intangibles.</w:t>
      </w:r>
    </w:p>
    <w:p w:rsidR="009344BE" w:rsidRPr="009344BE"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Las estimaciones realizadas para la determinación de los compromisos de pagos futuros.</w:t>
      </w:r>
    </w:p>
    <w:p w:rsidR="009344BE" w:rsidRPr="009344BE"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La probabilidad de ocurrencia y el importe de los pasivos indeterminados o contingentes.</w:t>
      </w:r>
    </w:p>
    <w:p w:rsidR="009344BE" w:rsidRPr="009344BE"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Deterioro de saldos de cuentas a cobrar y activos financieros.</w:t>
      </w:r>
    </w:p>
    <w:p w:rsidR="009344BE" w:rsidRPr="009344BE"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9344BE">
        <w:rPr>
          <w:rFonts w:ascii="Times New Roman" w:hAnsi="Times New Roman" w:cs="Times New Roman"/>
          <w:spacing w:val="-1"/>
          <w:sz w:val="22"/>
          <w:szCs w:val="22"/>
          <w:lang w:val="es-ES_tradnl" w:eastAsia="es-ES_tradnl"/>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rsidR="006C0067" w:rsidRPr="00FD2A35" w:rsidRDefault="006C0067" w:rsidP="0070122B">
      <w:pPr>
        <w:shd w:val="clear" w:color="auto" w:fill="FFFFFF"/>
        <w:tabs>
          <w:tab w:val="left" w:pos="1134"/>
        </w:tabs>
        <w:spacing w:before="238"/>
        <w:ind w:firstLine="708"/>
        <w:jc w:val="both"/>
        <w:rPr>
          <w:rFonts w:ascii="Times New Roman" w:hAnsi="Times New Roman" w:cs="Times New Roman"/>
          <w:sz w:val="22"/>
          <w:szCs w:val="22"/>
          <w:lang w:val="es-ES_tradnl" w:eastAsia="es-ES_tradnl"/>
        </w:rPr>
      </w:pPr>
      <w:r w:rsidRPr="00FD2A35">
        <w:rPr>
          <w:rFonts w:ascii="Times New Roman" w:hAnsi="Times New Roman" w:cs="Times New Roman"/>
          <w:b/>
          <w:bCs/>
          <w:spacing w:val="-4"/>
          <w:sz w:val="22"/>
          <w:szCs w:val="22"/>
          <w:lang w:val="es-ES_tradnl" w:eastAsia="es-ES_tradnl"/>
        </w:rPr>
        <w:t>2.4</w:t>
      </w:r>
      <w:r w:rsidRPr="00FD2A35">
        <w:rPr>
          <w:rFonts w:ascii="Times New Roman" w:hAnsi="Times New Roman" w:cs="Times New Roman"/>
          <w:b/>
          <w:bCs/>
          <w:sz w:val="22"/>
          <w:szCs w:val="22"/>
          <w:lang w:val="es-ES_tradnl" w:eastAsia="es-ES_tradnl"/>
        </w:rPr>
        <w:t xml:space="preserve"> </w:t>
      </w:r>
      <w:r w:rsidR="00E26C57" w:rsidRPr="00FD2A35">
        <w:rPr>
          <w:rFonts w:ascii="Times New Roman" w:hAnsi="Times New Roman" w:cs="Times New Roman"/>
          <w:b/>
          <w:bCs/>
          <w:sz w:val="22"/>
          <w:szCs w:val="22"/>
          <w:lang w:val="es-ES_tradnl" w:eastAsia="es-ES_tradnl"/>
        </w:rPr>
        <w:t xml:space="preserve"> </w:t>
      </w:r>
      <w:r w:rsidRPr="00FD2A35">
        <w:rPr>
          <w:rFonts w:ascii="Times New Roman" w:hAnsi="Times New Roman" w:cs="Times New Roman"/>
          <w:b/>
          <w:bCs/>
          <w:spacing w:val="-3"/>
          <w:sz w:val="22"/>
          <w:szCs w:val="22"/>
          <w:lang w:val="es-ES_tradnl" w:eastAsia="es-ES_tradnl"/>
        </w:rPr>
        <w:t>Comparación de la información:</w:t>
      </w:r>
    </w:p>
    <w:p w:rsidR="007D08CD" w:rsidRPr="00FD2A35" w:rsidRDefault="00FB3062" w:rsidP="007D08CD">
      <w:pPr>
        <w:shd w:val="clear" w:color="auto" w:fill="FFFFFF"/>
        <w:spacing w:before="216"/>
        <w:ind w:left="720" w:right="43"/>
        <w:jc w:val="both"/>
        <w:rPr>
          <w:rFonts w:ascii="Times New Roman" w:hAnsi="Times New Roman" w:cs="Times New Roman"/>
          <w:spacing w:val="-1"/>
          <w:sz w:val="22"/>
          <w:szCs w:val="22"/>
          <w:lang w:val="es-ES_tradnl" w:eastAsia="es-ES_tradnl"/>
        </w:rPr>
      </w:pPr>
      <w:r>
        <w:rPr>
          <w:rFonts w:ascii="Times New Roman" w:hAnsi="Times New Roman" w:cs="Times New Roman"/>
          <w:spacing w:val="-1"/>
          <w:sz w:val="22"/>
          <w:szCs w:val="22"/>
          <w:lang w:val="es-ES_tradnl" w:eastAsia="es-ES_tradnl"/>
        </w:rPr>
        <w:t xml:space="preserve">Tal y como se cita en la nota 2.1 anterior, el presente ejercicio es el primero en el cual la entidad formula sus </w:t>
      </w:r>
      <w:r w:rsidR="007D08CD" w:rsidRPr="00FD2A35">
        <w:rPr>
          <w:rFonts w:ascii="Times New Roman" w:hAnsi="Times New Roman" w:cs="Times New Roman"/>
          <w:spacing w:val="-1"/>
          <w:sz w:val="22"/>
          <w:szCs w:val="22"/>
          <w:lang w:val="es-ES_tradnl" w:eastAsia="es-ES_tradnl"/>
        </w:rPr>
        <w:t>cuentas anuales adjuntas aplicando los principios contables establecidos en el Código de Comercio y el Plan General de Contabilidad aprobado por Real Decreto 1514/2007, de 16 de Noviembre.</w:t>
      </w:r>
      <w:r>
        <w:rPr>
          <w:rFonts w:ascii="Times New Roman" w:hAnsi="Times New Roman" w:cs="Times New Roman"/>
          <w:spacing w:val="-1"/>
          <w:sz w:val="22"/>
          <w:szCs w:val="22"/>
          <w:lang w:val="es-ES_tradnl" w:eastAsia="es-ES_tradnl"/>
        </w:rPr>
        <w:t xml:space="preserve"> En tal sentido se han modificado los capítulos y epígrafes de las cuentas anuales exigidos por la normativa contable tanto para el ejercicio 2020 como para las cifras comparativas del ejercicio anterior.</w:t>
      </w:r>
    </w:p>
    <w:p w:rsidR="007D08CD" w:rsidRDefault="007D08CD" w:rsidP="007D08CD">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FD2A35">
        <w:rPr>
          <w:rFonts w:ascii="Times New Roman" w:hAnsi="Times New Roman" w:cs="Times New Roman"/>
          <w:spacing w:val="-1"/>
          <w:sz w:val="22"/>
          <w:szCs w:val="22"/>
          <w:lang w:val="es-ES_tradnl" w:eastAsia="es-ES_tradnl"/>
        </w:rPr>
        <w:t xml:space="preserve">De acuerdo con la legislación mercantil el Administrador presenta a efectos comparativos, con cada una de las partidas del balance de situación, de la cuenta de pérdidas y ganancias, del estado de cambios en el patrimonio neto, del estado de flujos de efectivo y de la memoria de las cuentas anuales, además de las cifras del ejercicio </w:t>
      </w:r>
      <w:r w:rsidR="00B7600E" w:rsidRPr="00FD2A35">
        <w:rPr>
          <w:rFonts w:ascii="Times New Roman" w:hAnsi="Times New Roman" w:cs="Times New Roman"/>
          <w:spacing w:val="-1"/>
          <w:sz w:val="22"/>
          <w:szCs w:val="22"/>
          <w:lang w:val="es-ES_tradnl" w:eastAsia="es-ES_tradnl"/>
        </w:rPr>
        <w:t>2020</w:t>
      </w:r>
      <w:r w:rsidRPr="00FD2A35">
        <w:rPr>
          <w:rFonts w:ascii="Times New Roman" w:hAnsi="Times New Roman" w:cs="Times New Roman"/>
          <w:spacing w:val="-1"/>
          <w:sz w:val="22"/>
          <w:szCs w:val="22"/>
          <w:lang w:val="es-ES_tradnl" w:eastAsia="es-ES_tradnl"/>
        </w:rPr>
        <w:t>, las correspondientes al ejercicio anterior</w:t>
      </w:r>
      <w:r w:rsidR="00714748">
        <w:rPr>
          <w:rFonts w:ascii="Times New Roman" w:hAnsi="Times New Roman" w:cs="Times New Roman"/>
          <w:spacing w:val="-1"/>
          <w:sz w:val="22"/>
          <w:szCs w:val="22"/>
          <w:lang w:val="es-ES_tradnl" w:eastAsia="es-ES_tradnl"/>
        </w:rPr>
        <w:t>.</w:t>
      </w:r>
    </w:p>
    <w:p w:rsidR="007D08CD" w:rsidRPr="00B769D6"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B769D6">
        <w:rPr>
          <w:rFonts w:ascii="Times New Roman" w:hAnsi="Times New Roman" w:cs="Times New Roman"/>
          <w:b/>
          <w:bCs/>
          <w:spacing w:val="-4"/>
          <w:sz w:val="22"/>
          <w:szCs w:val="22"/>
          <w:lang w:val="es-ES_tradnl" w:eastAsia="es-ES_tradnl"/>
        </w:rPr>
        <w:t xml:space="preserve">2.5 Agrupación de partidas: </w:t>
      </w:r>
    </w:p>
    <w:p w:rsidR="007D08CD" w:rsidRPr="00B769D6" w:rsidRDefault="00FB3062" w:rsidP="007D08CD">
      <w:pPr>
        <w:shd w:val="clear" w:color="auto" w:fill="FFFFFF"/>
        <w:spacing w:before="216"/>
        <w:ind w:left="720" w:right="43"/>
        <w:jc w:val="both"/>
        <w:rPr>
          <w:rFonts w:ascii="Times New Roman" w:hAnsi="Times New Roman" w:cs="Times New Roman"/>
          <w:spacing w:val="-1"/>
          <w:sz w:val="22"/>
          <w:szCs w:val="22"/>
          <w:lang w:val="es-ES_tradnl" w:eastAsia="es-ES_tradnl"/>
        </w:rPr>
      </w:pPr>
      <w:r>
        <w:rPr>
          <w:rFonts w:ascii="Times New Roman" w:hAnsi="Times New Roman" w:cs="Times New Roman"/>
          <w:spacing w:val="-1"/>
          <w:sz w:val="22"/>
          <w:szCs w:val="22"/>
          <w:lang w:val="es-ES_tradnl" w:eastAsia="es-ES_tradnl"/>
        </w:rPr>
        <w:t>Adicionalmente a lo expresado en el apartado 2.4 anterior,  l</w:t>
      </w:r>
      <w:r w:rsidR="007D08CD" w:rsidRPr="00B769D6">
        <w:rPr>
          <w:rFonts w:ascii="Times New Roman" w:hAnsi="Times New Roman" w:cs="Times New Roman"/>
          <w:spacing w:val="-1"/>
          <w:sz w:val="22"/>
          <w:szCs w:val="22"/>
          <w:lang w:val="es-ES_tradnl" w:eastAsia="es-ES_tradnl"/>
        </w:rPr>
        <w:t xml:space="preserve">as cuentas anuales no tienen ninguna partida que haya sido objeto de agrupación en el balance, en la cuenta de pérdidas y ganancias, en el estado de cambios en el patrimonio neto o en el estado de flujos de efectivo. </w:t>
      </w:r>
    </w:p>
    <w:p w:rsidR="006C0067" w:rsidRPr="00B769D6"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B769D6">
        <w:rPr>
          <w:rFonts w:ascii="Times New Roman" w:hAnsi="Times New Roman" w:cs="Times New Roman"/>
          <w:b/>
          <w:bCs/>
          <w:spacing w:val="-4"/>
          <w:sz w:val="22"/>
          <w:szCs w:val="22"/>
          <w:lang w:val="es-ES_tradnl" w:eastAsia="es-ES_tradnl"/>
        </w:rPr>
        <w:t>2.6</w:t>
      </w:r>
      <w:r w:rsidR="006C0067" w:rsidRPr="00B769D6">
        <w:rPr>
          <w:rFonts w:ascii="Times New Roman" w:hAnsi="Times New Roman" w:cs="Times New Roman"/>
          <w:b/>
          <w:bCs/>
          <w:spacing w:val="-4"/>
          <w:sz w:val="22"/>
          <w:szCs w:val="22"/>
          <w:lang w:val="es-ES_tradnl" w:eastAsia="es-ES_tradnl"/>
        </w:rPr>
        <w:t xml:space="preserve"> </w:t>
      </w:r>
      <w:r w:rsidR="00E26C57" w:rsidRPr="00B769D6">
        <w:rPr>
          <w:rFonts w:ascii="Times New Roman" w:hAnsi="Times New Roman" w:cs="Times New Roman"/>
          <w:b/>
          <w:bCs/>
          <w:spacing w:val="-4"/>
          <w:sz w:val="22"/>
          <w:szCs w:val="22"/>
          <w:lang w:val="es-ES_tradnl" w:eastAsia="es-ES_tradnl"/>
        </w:rPr>
        <w:t xml:space="preserve"> </w:t>
      </w:r>
      <w:r w:rsidR="006C0067" w:rsidRPr="00B769D6">
        <w:rPr>
          <w:rFonts w:ascii="Times New Roman" w:hAnsi="Times New Roman" w:cs="Times New Roman"/>
          <w:b/>
          <w:bCs/>
          <w:spacing w:val="-4"/>
          <w:sz w:val="22"/>
          <w:szCs w:val="22"/>
          <w:lang w:val="es-ES_tradnl" w:eastAsia="es-ES_tradnl"/>
        </w:rPr>
        <w:t>Elementos recogidos en varias partidas:</w:t>
      </w:r>
    </w:p>
    <w:p w:rsidR="006C0067" w:rsidRPr="00B769D6" w:rsidRDefault="006C0067" w:rsidP="00056B5A">
      <w:pPr>
        <w:shd w:val="clear" w:color="auto" w:fill="FFFFFF"/>
        <w:spacing w:before="202"/>
        <w:ind w:firstLine="708"/>
        <w:jc w:val="both"/>
        <w:rPr>
          <w:rFonts w:ascii="Times New Roman" w:hAnsi="Times New Roman" w:cs="Times New Roman"/>
          <w:sz w:val="22"/>
          <w:szCs w:val="22"/>
        </w:rPr>
      </w:pPr>
      <w:r w:rsidRPr="00B769D6">
        <w:rPr>
          <w:rFonts w:ascii="Times New Roman" w:hAnsi="Times New Roman" w:cs="Times New Roman"/>
          <w:spacing w:val="-3"/>
          <w:sz w:val="22"/>
          <w:szCs w:val="22"/>
          <w:lang w:val="es-ES_tradnl" w:eastAsia="es-ES_tradnl"/>
        </w:rPr>
        <w:t>No existen elementos patrimoniales que estén registrados en dos o más partidas del balance.</w:t>
      </w:r>
    </w:p>
    <w:p w:rsidR="006C0067" w:rsidRPr="00B769D6" w:rsidRDefault="006C0067"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B769D6">
        <w:rPr>
          <w:rFonts w:ascii="Times New Roman" w:hAnsi="Times New Roman" w:cs="Times New Roman"/>
          <w:b/>
          <w:bCs/>
          <w:spacing w:val="-4"/>
          <w:sz w:val="22"/>
          <w:szCs w:val="22"/>
          <w:lang w:val="es-ES_tradnl" w:eastAsia="es-ES_tradnl"/>
        </w:rPr>
        <w:t>2.</w:t>
      </w:r>
      <w:r w:rsidR="007D08CD" w:rsidRPr="00B769D6">
        <w:rPr>
          <w:rFonts w:ascii="Times New Roman" w:hAnsi="Times New Roman" w:cs="Times New Roman"/>
          <w:b/>
          <w:bCs/>
          <w:spacing w:val="-4"/>
          <w:sz w:val="22"/>
          <w:szCs w:val="22"/>
          <w:lang w:val="es-ES_tradnl" w:eastAsia="es-ES_tradnl"/>
        </w:rPr>
        <w:t>7</w:t>
      </w:r>
      <w:r w:rsidRPr="00B769D6">
        <w:rPr>
          <w:rFonts w:ascii="Times New Roman" w:hAnsi="Times New Roman" w:cs="Times New Roman"/>
          <w:b/>
          <w:bCs/>
          <w:spacing w:val="-4"/>
          <w:sz w:val="22"/>
          <w:szCs w:val="22"/>
          <w:lang w:val="es-ES_tradnl" w:eastAsia="es-ES_tradnl"/>
        </w:rPr>
        <w:t xml:space="preserve"> </w:t>
      </w:r>
      <w:r w:rsidR="00056B5A" w:rsidRPr="00B769D6">
        <w:rPr>
          <w:rFonts w:ascii="Times New Roman" w:hAnsi="Times New Roman" w:cs="Times New Roman"/>
          <w:b/>
          <w:bCs/>
          <w:spacing w:val="-4"/>
          <w:sz w:val="22"/>
          <w:szCs w:val="22"/>
          <w:lang w:val="es-ES_tradnl" w:eastAsia="es-ES_tradnl"/>
        </w:rPr>
        <w:t xml:space="preserve"> </w:t>
      </w:r>
      <w:r w:rsidRPr="00B769D6">
        <w:rPr>
          <w:rFonts w:ascii="Times New Roman" w:hAnsi="Times New Roman" w:cs="Times New Roman"/>
          <w:b/>
          <w:bCs/>
          <w:spacing w:val="-4"/>
          <w:sz w:val="22"/>
          <w:szCs w:val="22"/>
          <w:lang w:val="es-ES_tradnl" w:eastAsia="es-ES_tradnl"/>
        </w:rPr>
        <w:t>Cambios en criterios contables:</w:t>
      </w:r>
    </w:p>
    <w:p w:rsidR="004862F5" w:rsidRPr="00B769D6" w:rsidRDefault="006C0067" w:rsidP="004862F5">
      <w:pPr>
        <w:shd w:val="clear" w:color="auto" w:fill="FFFFFF"/>
        <w:spacing w:before="212"/>
        <w:ind w:right="40" w:firstLine="708"/>
        <w:jc w:val="both"/>
        <w:rPr>
          <w:rFonts w:ascii="Times New Roman" w:hAnsi="Times New Roman" w:cs="Times New Roman"/>
          <w:sz w:val="22"/>
          <w:szCs w:val="22"/>
          <w:lang w:val="es-ES_tradnl" w:eastAsia="es-ES_tradnl"/>
        </w:rPr>
      </w:pPr>
      <w:r w:rsidRPr="00B769D6">
        <w:rPr>
          <w:rFonts w:ascii="Times New Roman" w:hAnsi="Times New Roman" w:cs="Times New Roman"/>
          <w:spacing w:val="-2"/>
          <w:sz w:val="22"/>
          <w:szCs w:val="22"/>
          <w:lang w:val="es-ES_tradnl" w:eastAsia="es-ES_tradnl"/>
        </w:rPr>
        <w:t xml:space="preserve">No se han producido cambios en los criterios contables aplicados durante el </w:t>
      </w:r>
      <w:r w:rsidRPr="00B769D6">
        <w:rPr>
          <w:rFonts w:ascii="Times New Roman" w:hAnsi="Times New Roman" w:cs="Times New Roman"/>
          <w:sz w:val="22"/>
          <w:szCs w:val="22"/>
          <w:lang w:val="es-ES_tradnl" w:eastAsia="es-ES_tradnl"/>
        </w:rPr>
        <w:t>ejercicio.</w:t>
      </w:r>
    </w:p>
    <w:p w:rsidR="00A42125" w:rsidRPr="00B94CCA" w:rsidRDefault="006C0067"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B94CCA">
        <w:rPr>
          <w:rFonts w:ascii="Times New Roman" w:hAnsi="Times New Roman" w:cs="Times New Roman"/>
          <w:b/>
          <w:bCs/>
          <w:spacing w:val="-4"/>
          <w:sz w:val="22"/>
          <w:szCs w:val="22"/>
          <w:lang w:val="es-ES_tradnl" w:eastAsia="es-ES_tradnl"/>
        </w:rPr>
        <w:t>2.</w:t>
      </w:r>
      <w:r w:rsidR="007D08CD" w:rsidRPr="00B94CCA">
        <w:rPr>
          <w:rFonts w:ascii="Times New Roman" w:hAnsi="Times New Roman" w:cs="Times New Roman"/>
          <w:b/>
          <w:bCs/>
          <w:spacing w:val="-4"/>
          <w:sz w:val="22"/>
          <w:szCs w:val="22"/>
          <w:lang w:val="es-ES_tradnl" w:eastAsia="es-ES_tradnl"/>
        </w:rPr>
        <w:t>8</w:t>
      </w:r>
      <w:r w:rsidR="00056B5A" w:rsidRPr="00B94CCA">
        <w:rPr>
          <w:rFonts w:ascii="Times New Roman" w:hAnsi="Times New Roman" w:cs="Times New Roman"/>
          <w:b/>
          <w:bCs/>
          <w:spacing w:val="-4"/>
          <w:sz w:val="22"/>
          <w:szCs w:val="22"/>
          <w:lang w:val="es-ES_tradnl" w:eastAsia="es-ES_tradnl"/>
        </w:rPr>
        <w:t xml:space="preserve">  </w:t>
      </w:r>
      <w:r w:rsidRPr="00B94CCA">
        <w:rPr>
          <w:rFonts w:ascii="Times New Roman" w:hAnsi="Times New Roman" w:cs="Times New Roman"/>
          <w:b/>
          <w:bCs/>
          <w:spacing w:val="-4"/>
          <w:sz w:val="22"/>
          <w:szCs w:val="22"/>
          <w:lang w:val="es-ES_tradnl" w:eastAsia="es-ES_tradnl"/>
        </w:rPr>
        <w:t>Corrección de errores:</w:t>
      </w:r>
    </w:p>
    <w:p w:rsidR="00B769D6" w:rsidRPr="00B94CCA" w:rsidRDefault="00B769D6" w:rsidP="00B769D6">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B94CCA">
        <w:rPr>
          <w:rFonts w:ascii="Times New Roman" w:hAnsi="Times New Roman" w:cs="Times New Roman"/>
          <w:spacing w:val="-1"/>
          <w:sz w:val="22"/>
          <w:szCs w:val="22"/>
          <w:lang w:val="es-ES_tradnl" w:eastAsia="es-ES_tradnl"/>
        </w:rPr>
        <w:t>En el presente ejercicio, a tenor de las sentencias judiciales estimatorias definitivas del litigio de índole fiscal con el Gobierno de Canarias</w:t>
      </w:r>
      <w:r w:rsidR="00B94CCA">
        <w:rPr>
          <w:rFonts w:ascii="Times New Roman" w:hAnsi="Times New Roman" w:cs="Times New Roman"/>
          <w:spacing w:val="-1"/>
          <w:sz w:val="22"/>
          <w:szCs w:val="22"/>
          <w:lang w:val="es-ES_tradnl" w:eastAsia="es-ES_tradnl"/>
        </w:rPr>
        <w:t>,</w:t>
      </w:r>
      <w:r w:rsidRPr="00B94CCA">
        <w:rPr>
          <w:rFonts w:ascii="Times New Roman" w:hAnsi="Times New Roman" w:cs="Times New Roman"/>
          <w:spacing w:val="-1"/>
          <w:sz w:val="22"/>
          <w:szCs w:val="22"/>
          <w:lang w:val="es-ES_tradnl" w:eastAsia="es-ES_tradnl"/>
        </w:rPr>
        <w:t xml:space="preserve"> en reclamación de la deducibilidad del IGIC soportado de ejercicios anteriores, se ha procedido a regularizar contra Reservas Voluntarias aquellas cuantías no recuperables por prescripción fiscal de las mismas a tenor de lo resu</w:t>
      </w:r>
      <w:r w:rsidR="00B94CCA">
        <w:rPr>
          <w:rFonts w:ascii="Times New Roman" w:hAnsi="Times New Roman" w:cs="Times New Roman"/>
          <w:spacing w:val="-1"/>
          <w:sz w:val="22"/>
          <w:szCs w:val="22"/>
          <w:lang w:val="es-ES_tradnl" w:eastAsia="es-ES_tradnl"/>
        </w:rPr>
        <w:t>e</w:t>
      </w:r>
      <w:r w:rsidRPr="00B94CCA">
        <w:rPr>
          <w:rFonts w:ascii="Times New Roman" w:hAnsi="Times New Roman" w:cs="Times New Roman"/>
          <w:spacing w:val="-1"/>
          <w:sz w:val="22"/>
          <w:szCs w:val="22"/>
          <w:lang w:val="es-ES_tradnl" w:eastAsia="es-ES_tradnl"/>
        </w:rPr>
        <w:t xml:space="preserve">lto en dichas sentencias, ascendiendo el importe regularizado globalmente a la cuantía de </w:t>
      </w:r>
      <w:r w:rsidR="00B94CCA" w:rsidRPr="00B94CCA">
        <w:rPr>
          <w:rFonts w:ascii="Times New Roman" w:hAnsi="Times New Roman" w:cs="Times New Roman"/>
          <w:spacing w:val="-1"/>
          <w:sz w:val="22"/>
          <w:szCs w:val="22"/>
          <w:lang w:val="es-ES_tradnl" w:eastAsia="es-ES_tradnl"/>
        </w:rPr>
        <w:t>349.499,76 euros.</w:t>
      </w:r>
    </w:p>
    <w:p w:rsidR="00BE7B1C" w:rsidRPr="00321047" w:rsidRDefault="00BE7B1C" w:rsidP="00A42125">
      <w:pPr>
        <w:shd w:val="clear" w:color="auto" w:fill="FFFFFF"/>
        <w:ind w:left="709"/>
        <w:jc w:val="both"/>
        <w:rPr>
          <w:rFonts w:ascii="Times New Roman" w:hAnsi="Times New Roman" w:cs="Times New Roman"/>
          <w:color w:val="0000FF"/>
          <w:spacing w:val="-4"/>
          <w:sz w:val="6"/>
          <w:szCs w:val="6"/>
          <w:lang w:val="es-ES_tradnl" w:eastAsia="es-ES_tradnl"/>
        </w:rPr>
      </w:pPr>
    </w:p>
    <w:p w:rsidR="007D08CD" w:rsidRPr="00B769D6"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B769D6">
        <w:rPr>
          <w:rFonts w:ascii="Times New Roman" w:hAnsi="Times New Roman" w:cs="Times New Roman"/>
          <w:b/>
          <w:bCs/>
          <w:spacing w:val="-4"/>
          <w:sz w:val="22"/>
          <w:szCs w:val="22"/>
          <w:lang w:val="es-ES_tradnl" w:eastAsia="es-ES_tradnl"/>
        </w:rPr>
        <w:t>2.9. Importancia relativa:</w:t>
      </w:r>
    </w:p>
    <w:p w:rsidR="007D08CD" w:rsidRPr="00B769D6" w:rsidRDefault="007D08CD" w:rsidP="007D08CD">
      <w:pPr>
        <w:pStyle w:val="Default"/>
        <w:spacing w:line="276" w:lineRule="auto"/>
        <w:rPr>
          <w:rFonts w:ascii="Cambria" w:hAnsi="Cambria"/>
          <w:color w:val="auto"/>
          <w:spacing w:val="1"/>
          <w:sz w:val="20"/>
          <w:szCs w:val="20"/>
        </w:rPr>
      </w:pPr>
    </w:p>
    <w:p w:rsidR="009344BE" w:rsidRDefault="007D08CD" w:rsidP="00B94CCA">
      <w:pPr>
        <w:shd w:val="clear" w:color="auto" w:fill="FFFFFF"/>
        <w:ind w:left="709"/>
        <w:jc w:val="both"/>
        <w:rPr>
          <w:rFonts w:ascii="Times New Roman" w:hAnsi="Times New Roman" w:cs="Times New Roman"/>
          <w:spacing w:val="-1"/>
          <w:sz w:val="22"/>
          <w:szCs w:val="22"/>
          <w:lang w:val="es-ES_tradnl" w:eastAsia="es-ES_tradnl"/>
        </w:rPr>
      </w:pPr>
      <w:r w:rsidRPr="00B769D6">
        <w:rPr>
          <w:rFonts w:ascii="Times New Roman" w:hAnsi="Times New Roman" w:cs="Times New Roman"/>
          <w:spacing w:val="-1"/>
          <w:sz w:val="22"/>
          <w:szCs w:val="22"/>
          <w:lang w:val="es-ES_tradnl" w:eastAsia="es-ES_tradnl"/>
        </w:rPr>
        <w:t xml:space="preserve">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w:t>
      </w:r>
      <w:r w:rsidR="00B7600E" w:rsidRPr="00B769D6">
        <w:rPr>
          <w:rFonts w:ascii="Times New Roman" w:hAnsi="Times New Roman" w:cs="Times New Roman"/>
          <w:spacing w:val="-1"/>
          <w:sz w:val="22"/>
          <w:szCs w:val="22"/>
          <w:lang w:val="es-ES_tradnl" w:eastAsia="es-ES_tradnl"/>
        </w:rPr>
        <w:t>2020</w:t>
      </w:r>
      <w:r w:rsidRPr="00B769D6">
        <w:rPr>
          <w:rFonts w:ascii="Times New Roman" w:hAnsi="Times New Roman" w:cs="Times New Roman"/>
          <w:spacing w:val="-1"/>
          <w:sz w:val="22"/>
          <w:szCs w:val="22"/>
          <w:lang w:val="es-ES_tradnl" w:eastAsia="es-ES_tradnl"/>
        </w:rPr>
        <w:t>.</w:t>
      </w:r>
    </w:p>
    <w:p w:rsidR="00FB3062" w:rsidRPr="00321047" w:rsidRDefault="00FB3062" w:rsidP="00B94CCA">
      <w:pPr>
        <w:shd w:val="clear" w:color="auto" w:fill="FFFFFF"/>
        <w:ind w:left="709"/>
        <w:jc w:val="both"/>
        <w:rPr>
          <w:rFonts w:ascii="Times New Roman" w:hAnsi="Times New Roman" w:cs="Times New Roman"/>
          <w:b/>
          <w:bCs/>
          <w:color w:val="0000FF"/>
          <w:spacing w:val="-5"/>
          <w:sz w:val="22"/>
          <w:szCs w:val="22"/>
          <w:lang w:val="es-ES_tradnl" w:eastAsia="es-ES_tradnl"/>
        </w:rPr>
      </w:pPr>
    </w:p>
    <w:p w:rsidR="00B7600E" w:rsidRPr="00B94CCA" w:rsidRDefault="00B7600E" w:rsidP="00B7600E">
      <w:pPr>
        <w:shd w:val="clear" w:color="auto" w:fill="FFFFFF"/>
        <w:tabs>
          <w:tab w:val="left" w:pos="8939"/>
        </w:tabs>
        <w:spacing w:before="191"/>
        <w:ind w:firstLine="720"/>
        <w:jc w:val="both"/>
        <w:rPr>
          <w:rFonts w:ascii="Times New Roman" w:hAnsi="Times New Roman" w:cs="Times New Roman"/>
          <w:b/>
          <w:bCs/>
          <w:spacing w:val="-5"/>
          <w:sz w:val="22"/>
          <w:szCs w:val="22"/>
          <w:u w:val="double"/>
          <w:lang w:val="es-ES_tradnl" w:eastAsia="es-ES_tradnl"/>
        </w:rPr>
      </w:pPr>
      <w:r w:rsidRPr="00B94CCA">
        <w:rPr>
          <w:rFonts w:ascii="Times New Roman" w:hAnsi="Times New Roman" w:cs="Times New Roman"/>
          <w:b/>
          <w:bCs/>
          <w:spacing w:val="-5"/>
          <w:sz w:val="22"/>
          <w:szCs w:val="22"/>
          <w:lang w:val="es-ES_tradnl" w:eastAsia="es-ES_tradnl"/>
        </w:rPr>
        <w:t xml:space="preserve">3. </w:t>
      </w:r>
      <w:r w:rsidRPr="00B94CCA">
        <w:rPr>
          <w:rFonts w:ascii="Times New Roman" w:hAnsi="Times New Roman" w:cs="Times New Roman"/>
          <w:b/>
          <w:bCs/>
          <w:spacing w:val="-5"/>
          <w:sz w:val="22"/>
          <w:szCs w:val="22"/>
          <w:u w:val="double"/>
          <w:lang w:val="es-ES_tradnl" w:eastAsia="es-ES_tradnl"/>
        </w:rPr>
        <w:t>APLICACIÓN DEL RESULTADO</w:t>
      </w:r>
    </w:p>
    <w:p w:rsidR="00B7600E" w:rsidRPr="00B94CCA" w:rsidRDefault="00B7600E" w:rsidP="00B7600E">
      <w:pPr>
        <w:shd w:val="clear" w:color="auto" w:fill="FFFFFF"/>
        <w:ind w:left="709"/>
        <w:jc w:val="both"/>
        <w:rPr>
          <w:rFonts w:ascii="Times New Roman" w:hAnsi="Times New Roman" w:cs="Times New Roman"/>
          <w:spacing w:val="-4"/>
          <w:sz w:val="22"/>
          <w:szCs w:val="22"/>
          <w:lang w:val="es-ES_tradnl" w:eastAsia="es-ES_tradnl"/>
        </w:rPr>
      </w:pPr>
    </w:p>
    <w:p w:rsidR="00B7600E" w:rsidRPr="00B94CCA" w:rsidRDefault="00B7600E" w:rsidP="00B7600E">
      <w:pPr>
        <w:shd w:val="clear" w:color="auto" w:fill="FFFFFF"/>
        <w:ind w:left="709"/>
        <w:jc w:val="both"/>
        <w:rPr>
          <w:rFonts w:ascii="Times New Roman" w:hAnsi="Times New Roman" w:cs="Times New Roman"/>
          <w:spacing w:val="-4"/>
          <w:sz w:val="22"/>
          <w:szCs w:val="22"/>
          <w:lang w:val="es-ES_tradnl" w:eastAsia="es-ES_tradnl"/>
        </w:rPr>
      </w:pPr>
      <w:r w:rsidRPr="00B94CCA">
        <w:rPr>
          <w:rFonts w:ascii="Times New Roman" w:hAnsi="Times New Roman" w:cs="Times New Roman"/>
          <w:spacing w:val="-4"/>
          <w:sz w:val="22"/>
          <w:szCs w:val="22"/>
          <w:lang w:val="es-ES_tradnl" w:eastAsia="es-ES_tradnl"/>
        </w:rPr>
        <w:t>La propuesta de aplicación de resultados del ejercicio 2020  a someter por el Consejo de Administración para su aprobación por la Junta General es la siguiente:</w:t>
      </w:r>
    </w:p>
    <w:p w:rsidR="00B7600E" w:rsidRPr="00321047" w:rsidRDefault="00B7600E" w:rsidP="00B7600E">
      <w:pPr>
        <w:pStyle w:val="Default"/>
        <w:rPr>
          <w:color w:val="0000FF"/>
          <w:lang w:val="es-ES_tradnl" w:eastAsia="es-ES_tradnl"/>
        </w:rPr>
      </w:pPr>
    </w:p>
    <w:tbl>
      <w:tblPr>
        <w:tblW w:w="6200" w:type="dxa"/>
        <w:jc w:val="center"/>
        <w:tblInd w:w="47" w:type="dxa"/>
        <w:tblCellMar>
          <w:left w:w="70" w:type="dxa"/>
          <w:right w:w="70" w:type="dxa"/>
        </w:tblCellMar>
        <w:tblLook w:val="04A0"/>
      </w:tblPr>
      <w:tblGrid>
        <w:gridCol w:w="3460"/>
        <w:gridCol w:w="1360"/>
        <w:gridCol w:w="1380"/>
      </w:tblGrid>
      <w:tr w:rsidR="002013A7" w:rsidRPr="00205A13" w:rsidTr="00205A13">
        <w:trPr>
          <w:trHeight w:val="315"/>
          <w:jc w:val="center"/>
        </w:trPr>
        <w:tc>
          <w:tcPr>
            <w:tcW w:w="3460" w:type="dxa"/>
            <w:tcBorders>
              <w:top w:val="single" w:sz="4" w:space="0" w:color="auto"/>
              <w:left w:val="single" w:sz="4" w:space="0" w:color="auto"/>
              <w:bottom w:val="single" w:sz="4" w:space="0" w:color="auto"/>
              <w:right w:val="nil"/>
            </w:tcBorders>
            <w:shd w:val="clear" w:color="auto" w:fill="F2F2F2"/>
            <w:vAlign w:val="center"/>
            <w:hideMark/>
          </w:tcPr>
          <w:p w:rsidR="002013A7" w:rsidRPr="00205A13" w:rsidRDefault="002013A7" w:rsidP="00B7600E">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 </w:t>
            </w:r>
          </w:p>
        </w:tc>
        <w:tc>
          <w:tcPr>
            <w:tcW w:w="1360" w:type="dxa"/>
            <w:tcBorders>
              <w:top w:val="single" w:sz="4" w:space="0" w:color="auto"/>
              <w:left w:val="single" w:sz="8" w:space="0" w:color="auto"/>
              <w:bottom w:val="single" w:sz="4" w:space="0" w:color="auto"/>
              <w:right w:val="nil"/>
            </w:tcBorders>
            <w:shd w:val="clear" w:color="auto" w:fill="F2F2F2"/>
            <w:vAlign w:val="center"/>
            <w:hideMark/>
          </w:tcPr>
          <w:p w:rsidR="002013A7" w:rsidRPr="00205A13" w:rsidRDefault="002013A7" w:rsidP="002013A7">
            <w:pPr>
              <w:widowControl/>
              <w:autoSpaceDE/>
              <w:autoSpaceDN/>
              <w:adjustRightInd/>
              <w:jc w:val="center"/>
              <w:rPr>
                <w:rFonts w:asciiTheme="majorHAnsi" w:hAnsiTheme="majorHAnsi" w:cs="Times New Roman"/>
                <w:b/>
                <w:bCs/>
                <w:sz w:val="18"/>
                <w:szCs w:val="18"/>
              </w:rPr>
            </w:pPr>
            <w:r w:rsidRPr="00205A13">
              <w:rPr>
                <w:rFonts w:asciiTheme="majorHAnsi" w:hAnsiTheme="majorHAnsi" w:cs="Times New Roman"/>
                <w:b/>
                <w:bCs/>
                <w:sz w:val="18"/>
                <w:szCs w:val="18"/>
              </w:rPr>
              <w:t>AÑO 2020</w:t>
            </w:r>
          </w:p>
        </w:tc>
        <w:tc>
          <w:tcPr>
            <w:tcW w:w="1380" w:type="dxa"/>
            <w:tcBorders>
              <w:top w:val="single" w:sz="4" w:space="0" w:color="auto"/>
              <w:left w:val="single" w:sz="8" w:space="0" w:color="auto"/>
              <w:bottom w:val="single" w:sz="4" w:space="0" w:color="auto"/>
              <w:right w:val="single" w:sz="4" w:space="0" w:color="auto"/>
            </w:tcBorders>
            <w:shd w:val="clear" w:color="auto" w:fill="F2F2F2"/>
            <w:vAlign w:val="center"/>
          </w:tcPr>
          <w:p w:rsidR="002013A7" w:rsidRPr="00205A13" w:rsidRDefault="002013A7" w:rsidP="003A25E8">
            <w:pPr>
              <w:widowControl/>
              <w:autoSpaceDE/>
              <w:autoSpaceDN/>
              <w:adjustRightInd/>
              <w:jc w:val="center"/>
              <w:rPr>
                <w:rFonts w:asciiTheme="majorHAnsi" w:hAnsiTheme="majorHAnsi" w:cs="Times New Roman"/>
                <w:b/>
                <w:bCs/>
                <w:sz w:val="18"/>
                <w:szCs w:val="18"/>
              </w:rPr>
            </w:pPr>
            <w:r w:rsidRPr="00205A13">
              <w:rPr>
                <w:rFonts w:asciiTheme="majorHAnsi" w:hAnsiTheme="majorHAnsi" w:cs="Times New Roman"/>
                <w:b/>
                <w:bCs/>
                <w:sz w:val="18"/>
                <w:szCs w:val="18"/>
              </w:rPr>
              <w:t>AÑO 2019</w:t>
            </w:r>
          </w:p>
        </w:tc>
      </w:tr>
      <w:tr w:rsidR="002013A7" w:rsidRPr="00205A13" w:rsidTr="00205A13">
        <w:trPr>
          <w:trHeight w:hRule="exact" w:val="300"/>
          <w:jc w:val="center"/>
        </w:trPr>
        <w:tc>
          <w:tcPr>
            <w:tcW w:w="3460" w:type="dxa"/>
            <w:tcBorders>
              <w:top w:val="nil"/>
              <w:left w:val="single" w:sz="4" w:space="0" w:color="auto"/>
              <w:bottom w:val="nil"/>
              <w:right w:val="nil"/>
            </w:tcBorders>
            <w:shd w:val="clear" w:color="auto" w:fill="auto"/>
            <w:vAlign w:val="center"/>
            <w:hideMark/>
          </w:tcPr>
          <w:p w:rsidR="002013A7" w:rsidRPr="00205A13" w:rsidRDefault="002013A7" w:rsidP="00B7600E">
            <w:pPr>
              <w:widowControl/>
              <w:autoSpaceDE/>
              <w:autoSpaceDN/>
              <w:adjustRightInd/>
              <w:rPr>
                <w:rFonts w:asciiTheme="majorHAnsi" w:hAnsiTheme="majorHAnsi" w:cs="Times New Roman"/>
                <w:b/>
                <w:bCs/>
                <w:sz w:val="18"/>
                <w:szCs w:val="18"/>
                <w:u w:val="single"/>
              </w:rPr>
            </w:pPr>
            <w:r w:rsidRPr="00205A13">
              <w:rPr>
                <w:rFonts w:asciiTheme="majorHAnsi" w:hAnsiTheme="majorHAnsi" w:cs="Times New Roman"/>
                <w:b/>
                <w:bCs/>
                <w:sz w:val="18"/>
                <w:szCs w:val="18"/>
                <w:u w:val="single"/>
              </w:rPr>
              <w:t>Base de reparto</w:t>
            </w:r>
          </w:p>
        </w:tc>
        <w:tc>
          <w:tcPr>
            <w:tcW w:w="1360" w:type="dxa"/>
            <w:tcBorders>
              <w:top w:val="nil"/>
              <w:left w:val="single" w:sz="8" w:space="0" w:color="auto"/>
              <w:bottom w:val="nil"/>
              <w:right w:val="nil"/>
            </w:tcBorders>
            <w:shd w:val="clear" w:color="auto" w:fill="auto"/>
            <w:vAlign w:val="center"/>
            <w:hideMark/>
          </w:tcPr>
          <w:p w:rsidR="002013A7" w:rsidRPr="00205A13" w:rsidRDefault="002013A7" w:rsidP="00B7600E">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 </w:t>
            </w:r>
          </w:p>
        </w:tc>
        <w:tc>
          <w:tcPr>
            <w:tcW w:w="1380" w:type="dxa"/>
            <w:tcBorders>
              <w:top w:val="nil"/>
              <w:left w:val="single" w:sz="8" w:space="0" w:color="auto"/>
              <w:bottom w:val="nil"/>
              <w:right w:val="single" w:sz="4" w:space="0" w:color="auto"/>
            </w:tcBorders>
            <w:vAlign w:val="center"/>
          </w:tcPr>
          <w:p w:rsidR="002013A7" w:rsidRPr="00205A13" w:rsidRDefault="002013A7" w:rsidP="003A25E8">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 </w:t>
            </w:r>
          </w:p>
        </w:tc>
      </w:tr>
      <w:tr w:rsidR="002013A7" w:rsidRPr="00205A13" w:rsidTr="00205A13">
        <w:trPr>
          <w:trHeight w:val="300"/>
          <w:jc w:val="center"/>
        </w:trPr>
        <w:tc>
          <w:tcPr>
            <w:tcW w:w="3460" w:type="dxa"/>
            <w:tcBorders>
              <w:top w:val="nil"/>
              <w:left w:val="single" w:sz="4" w:space="0" w:color="auto"/>
              <w:bottom w:val="nil"/>
              <w:right w:val="nil"/>
            </w:tcBorders>
            <w:shd w:val="clear" w:color="auto" w:fill="auto"/>
            <w:vAlign w:val="center"/>
            <w:hideMark/>
          </w:tcPr>
          <w:p w:rsidR="002013A7" w:rsidRPr="00205A13" w:rsidRDefault="002013A7" w:rsidP="00B7600E">
            <w:pPr>
              <w:widowControl/>
              <w:autoSpaceDE/>
              <w:autoSpaceDN/>
              <w:adjustRightInd/>
              <w:rPr>
                <w:rFonts w:asciiTheme="majorHAnsi" w:hAnsiTheme="majorHAnsi" w:cs="Times New Roman"/>
                <w:sz w:val="18"/>
                <w:szCs w:val="18"/>
              </w:rPr>
            </w:pPr>
            <w:r w:rsidRPr="00205A13">
              <w:rPr>
                <w:rFonts w:asciiTheme="majorHAnsi" w:hAnsiTheme="majorHAnsi" w:cs="Times New Roman"/>
                <w:sz w:val="18"/>
                <w:szCs w:val="18"/>
              </w:rPr>
              <w:t>Pérdidas y ganancias (netos de Impuestos)</w:t>
            </w:r>
          </w:p>
        </w:tc>
        <w:tc>
          <w:tcPr>
            <w:tcW w:w="1360" w:type="dxa"/>
            <w:tcBorders>
              <w:top w:val="nil"/>
              <w:left w:val="single" w:sz="8" w:space="0" w:color="auto"/>
              <w:bottom w:val="nil"/>
              <w:right w:val="nil"/>
            </w:tcBorders>
            <w:shd w:val="clear" w:color="auto" w:fill="auto"/>
            <w:vAlign w:val="center"/>
            <w:hideMark/>
          </w:tcPr>
          <w:p w:rsidR="002013A7" w:rsidRPr="00205A13" w:rsidRDefault="00B94CCA" w:rsidP="00B7600E">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80.192,31</w:t>
            </w:r>
          </w:p>
        </w:tc>
        <w:tc>
          <w:tcPr>
            <w:tcW w:w="1380" w:type="dxa"/>
            <w:tcBorders>
              <w:top w:val="nil"/>
              <w:left w:val="single" w:sz="8" w:space="0" w:color="auto"/>
              <w:bottom w:val="nil"/>
              <w:right w:val="single" w:sz="4" w:space="0" w:color="auto"/>
            </w:tcBorders>
            <w:vAlign w:val="center"/>
          </w:tcPr>
          <w:p w:rsidR="002013A7" w:rsidRPr="00205A13" w:rsidRDefault="002013A7" w:rsidP="003A25E8">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65.759,02</w:t>
            </w:r>
          </w:p>
        </w:tc>
      </w:tr>
      <w:tr w:rsidR="002013A7" w:rsidRPr="00205A13" w:rsidTr="00205A13">
        <w:trPr>
          <w:trHeight w:hRule="exact" w:val="300"/>
          <w:jc w:val="center"/>
        </w:trPr>
        <w:tc>
          <w:tcPr>
            <w:tcW w:w="3460" w:type="dxa"/>
            <w:tcBorders>
              <w:top w:val="nil"/>
              <w:left w:val="single" w:sz="4" w:space="0" w:color="auto"/>
              <w:bottom w:val="nil"/>
              <w:right w:val="nil"/>
            </w:tcBorders>
            <w:shd w:val="clear" w:color="auto" w:fill="auto"/>
            <w:vAlign w:val="center"/>
            <w:hideMark/>
          </w:tcPr>
          <w:p w:rsidR="002013A7" w:rsidRPr="00205A13" w:rsidRDefault="002013A7" w:rsidP="00B7600E">
            <w:pPr>
              <w:widowControl/>
              <w:autoSpaceDE/>
              <w:autoSpaceDN/>
              <w:adjustRightInd/>
              <w:jc w:val="center"/>
              <w:rPr>
                <w:rFonts w:asciiTheme="majorHAnsi" w:hAnsiTheme="majorHAnsi" w:cs="Times New Roman"/>
                <w:b/>
                <w:bCs/>
                <w:sz w:val="18"/>
                <w:szCs w:val="18"/>
              </w:rPr>
            </w:pPr>
            <w:r w:rsidRPr="00205A13">
              <w:rPr>
                <w:rFonts w:asciiTheme="majorHAnsi" w:hAnsiTheme="majorHAnsi" w:cs="Times New Roman"/>
                <w:b/>
                <w:bCs/>
                <w:sz w:val="18"/>
                <w:szCs w:val="18"/>
              </w:rPr>
              <w:t>Total</w:t>
            </w:r>
          </w:p>
        </w:tc>
        <w:tc>
          <w:tcPr>
            <w:tcW w:w="1360" w:type="dxa"/>
            <w:tcBorders>
              <w:top w:val="nil"/>
              <w:left w:val="single" w:sz="8" w:space="0" w:color="auto"/>
              <w:bottom w:val="nil"/>
              <w:right w:val="nil"/>
            </w:tcBorders>
            <w:shd w:val="clear" w:color="auto" w:fill="auto"/>
            <w:vAlign w:val="center"/>
            <w:hideMark/>
          </w:tcPr>
          <w:p w:rsidR="002013A7" w:rsidRPr="00205A13" w:rsidRDefault="00B94CCA" w:rsidP="00B7600E">
            <w:pPr>
              <w:widowControl/>
              <w:autoSpaceDE/>
              <w:autoSpaceDN/>
              <w:adjustRightInd/>
              <w:jc w:val="center"/>
              <w:rPr>
                <w:rFonts w:asciiTheme="majorHAnsi" w:hAnsiTheme="majorHAnsi" w:cs="Times New Roman"/>
                <w:b/>
                <w:bCs/>
                <w:sz w:val="18"/>
                <w:szCs w:val="18"/>
                <w:u w:val="double"/>
              </w:rPr>
            </w:pPr>
            <w:r w:rsidRPr="00205A13">
              <w:rPr>
                <w:rFonts w:asciiTheme="majorHAnsi" w:hAnsiTheme="majorHAnsi" w:cs="Times New Roman"/>
                <w:b/>
                <w:bCs/>
                <w:sz w:val="18"/>
                <w:szCs w:val="18"/>
                <w:u w:val="double"/>
              </w:rPr>
              <w:t>80.192,31</w:t>
            </w:r>
          </w:p>
        </w:tc>
        <w:tc>
          <w:tcPr>
            <w:tcW w:w="1380" w:type="dxa"/>
            <w:tcBorders>
              <w:top w:val="nil"/>
              <w:left w:val="single" w:sz="8" w:space="0" w:color="auto"/>
              <w:bottom w:val="nil"/>
              <w:right w:val="single" w:sz="4" w:space="0" w:color="auto"/>
            </w:tcBorders>
            <w:vAlign w:val="center"/>
          </w:tcPr>
          <w:p w:rsidR="002013A7" w:rsidRPr="00205A13" w:rsidRDefault="002013A7" w:rsidP="003A25E8">
            <w:pPr>
              <w:widowControl/>
              <w:autoSpaceDE/>
              <w:autoSpaceDN/>
              <w:adjustRightInd/>
              <w:jc w:val="center"/>
              <w:rPr>
                <w:rFonts w:asciiTheme="majorHAnsi" w:hAnsiTheme="majorHAnsi" w:cs="Times New Roman"/>
                <w:b/>
                <w:bCs/>
                <w:sz w:val="18"/>
                <w:szCs w:val="18"/>
                <w:u w:val="double"/>
              </w:rPr>
            </w:pPr>
            <w:r w:rsidRPr="00205A13">
              <w:rPr>
                <w:rFonts w:asciiTheme="majorHAnsi" w:hAnsiTheme="majorHAnsi" w:cs="Times New Roman"/>
                <w:b/>
                <w:bCs/>
                <w:sz w:val="18"/>
                <w:szCs w:val="18"/>
                <w:u w:val="double"/>
              </w:rPr>
              <w:t>65.759,02</w:t>
            </w:r>
          </w:p>
        </w:tc>
      </w:tr>
      <w:tr w:rsidR="002013A7" w:rsidRPr="00205A13" w:rsidTr="00205A13">
        <w:trPr>
          <w:trHeight w:val="300"/>
          <w:jc w:val="center"/>
        </w:trPr>
        <w:tc>
          <w:tcPr>
            <w:tcW w:w="3460" w:type="dxa"/>
            <w:tcBorders>
              <w:top w:val="nil"/>
              <w:left w:val="single" w:sz="4" w:space="0" w:color="auto"/>
              <w:bottom w:val="nil"/>
              <w:right w:val="nil"/>
            </w:tcBorders>
            <w:shd w:val="clear" w:color="auto" w:fill="auto"/>
            <w:vAlign w:val="center"/>
            <w:hideMark/>
          </w:tcPr>
          <w:p w:rsidR="002013A7" w:rsidRPr="00205A13" w:rsidRDefault="002013A7" w:rsidP="00B7600E">
            <w:pPr>
              <w:widowControl/>
              <w:autoSpaceDE/>
              <w:autoSpaceDN/>
              <w:adjustRightInd/>
              <w:rPr>
                <w:rFonts w:asciiTheme="majorHAnsi" w:hAnsiTheme="majorHAnsi" w:cs="Times New Roman"/>
                <w:b/>
                <w:bCs/>
                <w:sz w:val="18"/>
                <w:szCs w:val="18"/>
                <w:u w:val="single"/>
              </w:rPr>
            </w:pPr>
            <w:r w:rsidRPr="00205A13">
              <w:rPr>
                <w:rFonts w:asciiTheme="majorHAnsi" w:hAnsiTheme="majorHAnsi" w:cs="Times New Roman"/>
                <w:b/>
                <w:bCs/>
                <w:sz w:val="18"/>
                <w:szCs w:val="18"/>
                <w:u w:val="single"/>
              </w:rPr>
              <w:t>Distribución</w:t>
            </w:r>
          </w:p>
        </w:tc>
        <w:tc>
          <w:tcPr>
            <w:tcW w:w="1360" w:type="dxa"/>
            <w:tcBorders>
              <w:top w:val="nil"/>
              <w:left w:val="single" w:sz="8" w:space="0" w:color="auto"/>
              <w:bottom w:val="nil"/>
              <w:right w:val="nil"/>
            </w:tcBorders>
            <w:shd w:val="clear" w:color="auto" w:fill="auto"/>
            <w:vAlign w:val="center"/>
            <w:hideMark/>
          </w:tcPr>
          <w:p w:rsidR="002013A7" w:rsidRPr="00205A13" w:rsidRDefault="002013A7" w:rsidP="00B7600E">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 </w:t>
            </w:r>
          </w:p>
        </w:tc>
        <w:tc>
          <w:tcPr>
            <w:tcW w:w="1380" w:type="dxa"/>
            <w:tcBorders>
              <w:top w:val="nil"/>
              <w:left w:val="single" w:sz="8" w:space="0" w:color="auto"/>
              <w:bottom w:val="nil"/>
              <w:right w:val="single" w:sz="4" w:space="0" w:color="auto"/>
            </w:tcBorders>
            <w:vAlign w:val="center"/>
          </w:tcPr>
          <w:p w:rsidR="002013A7" w:rsidRPr="00205A13" w:rsidRDefault="002013A7" w:rsidP="003A25E8">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 </w:t>
            </w:r>
          </w:p>
        </w:tc>
      </w:tr>
      <w:tr w:rsidR="002013A7" w:rsidRPr="00205A13" w:rsidTr="00205A13">
        <w:trPr>
          <w:trHeight w:hRule="exact" w:val="492"/>
          <w:jc w:val="center"/>
        </w:trPr>
        <w:tc>
          <w:tcPr>
            <w:tcW w:w="3460" w:type="dxa"/>
            <w:tcBorders>
              <w:top w:val="nil"/>
              <w:left w:val="single" w:sz="4" w:space="0" w:color="auto"/>
              <w:bottom w:val="nil"/>
              <w:right w:val="nil"/>
            </w:tcBorders>
            <w:shd w:val="clear" w:color="auto" w:fill="auto"/>
            <w:vAlign w:val="center"/>
            <w:hideMark/>
          </w:tcPr>
          <w:p w:rsidR="002013A7" w:rsidRPr="00205A13" w:rsidRDefault="002013A7" w:rsidP="00B7600E">
            <w:pPr>
              <w:widowControl/>
              <w:autoSpaceDE/>
              <w:autoSpaceDN/>
              <w:adjustRightInd/>
              <w:rPr>
                <w:rFonts w:asciiTheme="majorHAnsi" w:hAnsiTheme="majorHAnsi" w:cs="Times New Roman"/>
                <w:sz w:val="18"/>
                <w:szCs w:val="18"/>
              </w:rPr>
            </w:pPr>
            <w:r w:rsidRPr="00205A13">
              <w:rPr>
                <w:rFonts w:asciiTheme="majorHAnsi" w:hAnsiTheme="majorHAnsi" w:cs="Times New Roman"/>
                <w:sz w:val="18"/>
                <w:szCs w:val="18"/>
              </w:rPr>
              <w:t>Resultados Negativos de ejercicios anteriores</w:t>
            </w:r>
          </w:p>
        </w:tc>
        <w:tc>
          <w:tcPr>
            <w:tcW w:w="1360" w:type="dxa"/>
            <w:tcBorders>
              <w:top w:val="nil"/>
              <w:left w:val="single" w:sz="8" w:space="0" w:color="auto"/>
              <w:bottom w:val="nil"/>
              <w:right w:val="nil"/>
            </w:tcBorders>
            <w:shd w:val="clear" w:color="auto" w:fill="auto"/>
            <w:vAlign w:val="center"/>
            <w:hideMark/>
          </w:tcPr>
          <w:p w:rsidR="002013A7" w:rsidRPr="00205A13" w:rsidRDefault="00B94CCA" w:rsidP="00B7600E">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80.192,31</w:t>
            </w:r>
          </w:p>
        </w:tc>
        <w:tc>
          <w:tcPr>
            <w:tcW w:w="1380" w:type="dxa"/>
            <w:tcBorders>
              <w:top w:val="nil"/>
              <w:left w:val="single" w:sz="8" w:space="0" w:color="auto"/>
              <w:bottom w:val="nil"/>
              <w:right w:val="single" w:sz="4" w:space="0" w:color="auto"/>
            </w:tcBorders>
            <w:vAlign w:val="center"/>
          </w:tcPr>
          <w:p w:rsidR="002013A7" w:rsidRPr="00205A13" w:rsidRDefault="002013A7" w:rsidP="003A25E8">
            <w:pPr>
              <w:widowControl/>
              <w:autoSpaceDE/>
              <w:autoSpaceDN/>
              <w:adjustRightInd/>
              <w:jc w:val="center"/>
              <w:rPr>
                <w:rFonts w:asciiTheme="majorHAnsi" w:hAnsiTheme="majorHAnsi" w:cs="Times New Roman"/>
                <w:sz w:val="18"/>
                <w:szCs w:val="18"/>
              </w:rPr>
            </w:pPr>
            <w:r w:rsidRPr="00205A13">
              <w:rPr>
                <w:rFonts w:asciiTheme="majorHAnsi" w:hAnsiTheme="majorHAnsi" w:cs="Times New Roman"/>
                <w:sz w:val="18"/>
                <w:szCs w:val="18"/>
              </w:rPr>
              <w:t>65.759,02</w:t>
            </w:r>
          </w:p>
        </w:tc>
      </w:tr>
      <w:tr w:rsidR="002013A7" w:rsidRPr="00205A13" w:rsidTr="00205A13">
        <w:trPr>
          <w:trHeight w:val="315"/>
          <w:jc w:val="center"/>
        </w:trPr>
        <w:tc>
          <w:tcPr>
            <w:tcW w:w="3460" w:type="dxa"/>
            <w:tcBorders>
              <w:top w:val="single" w:sz="8" w:space="0" w:color="auto"/>
              <w:left w:val="single" w:sz="4" w:space="0" w:color="auto"/>
              <w:bottom w:val="single" w:sz="4" w:space="0" w:color="auto"/>
              <w:right w:val="nil"/>
            </w:tcBorders>
            <w:shd w:val="clear" w:color="auto" w:fill="auto"/>
            <w:vAlign w:val="center"/>
            <w:hideMark/>
          </w:tcPr>
          <w:p w:rsidR="002013A7" w:rsidRPr="00205A13" w:rsidRDefault="002013A7" w:rsidP="00B7600E">
            <w:pPr>
              <w:widowControl/>
              <w:autoSpaceDE/>
              <w:autoSpaceDN/>
              <w:adjustRightInd/>
              <w:jc w:val="center"/>
              <w:rPr>
                <w:rFonts w:asciiTheme="majorHAnsi" w:hAnsiTheme="majorHAnsi" w:cs="Times New Roman"/>
                <w:b/>
                <w:bCs/>
                <w:sz w:val="18"/>
                <w:szCs w:val="18"/>
              </w:rPr>
            </w:pPr>
            <w:r w:rsidRPr="00205A13">
              <w:rPr>
                <w:rFonts w:asciiTheme="majorHAnsi" w:hAnsiTheme="majorHAnsi" w:cs="Times New Roman"/>
                <w:b/>
                <w:bCs/>
                <w:sz w:val="18"/>
                <w:szCs w:val="18"/>
              </w:rPr>
              <w:t>Total</w:t>
            </w:r>
          </w:p>
        </w:tc>
        <w:tc>
          <w:tcPr>
            <w:tcW w:w="1360" w:type="dxa"/>
            <w:tcBorders>
              <w:top w:val="single" w:sz="8" w:space="0" w:color="auto"/>
              <w:left w:val="single" w:sz="8" w:space="0" w:color="auto"/>
              <w:bottom w:val="single" w:sz="4" w:space="0" w:color="auto"/>
              <w:right w:val="nil"/>
            </w:tcBorders>
            <w:shd w:val="clear" w:color="auto" w:fill="auto"/>
            <w:vAlign w:val="center"/>
            <w:hideMark/>
          </w:tcPr>
          <w:p w:rsidR="002013A7" w:rsidRPr="00205A13" w:rsidRDefault="00B94CCA" w:rsidP="00B7600E">
            <w:pPr>
              <w:widowControl/>
              <w:autoSpaceDE/>
              <w:autoSpaceDN/>
              <w:adjustRightInd/>
              <w:jc w:val="center"/>
              <w:rPr>
                <w:rFonts w:asciiTheme="majorHAnsi" w:hAnsiTheme="majorHAnsi" w:cs="Times New Roman"/>
                <w:b/>
                <w:bCs/>
                <w:sz w:val="18"/>
                <w:szCs w:val="18"/>
                <w:u w:val="double"/>
              </w:rPr>
            </w:pPr>
            <w:r w:rsidRPr="00205A13">
              <w:rPr>
                <w:rFonts w:asciiTheme="majorHAnsi" w:hAnsiTheme="majorHAnsi" w:cs="Times New Roman"/>
                <w:b/>
                <w:bCs/>
                <w:sz w:val="18"/>
                <w:szCs w:val="18"/>
                <w:u w:val="double"/>
              </w:rPr>
              <w:t>80.192,31</w:t>
            </w:r>
          </w:p>
        </w:tc>
        <w:tc>
          <w:tcPr>
            <w:tcW w:w="1380" w:type="dxa"/>
            <w:tcBorders>
              <w:top w:val="single" w:sz="8" w:space="0" w:color="auto"/>
              <w:left w:val="single" w:sz="8" w:space="0" w:color="auto"/>
              <w:bottom w:val="single" w:sz="4" w:space="0" w:color="auto"/>
              <w:right w:val="single" w:sz="4" w:space="0" w:color="auto"/>
            </w:tcBorders>
            <w:vAlign w:val="center"/>
          </w:tcPr>
          <w:p w:rsidR="002013A7" w:rsidRPr="00205A13" w:rsidRDefault="00B94CCA" w:rsidP="003A25E8">
            <w:pPr>
              <w:widowControl/>
              <w:autoSpaceDE/>
              <w:autoSpaceDN/>
              <w:adjustRightInd/>
              <w:jc w:val="center"/>
              <w:rPr>
                <w:rFonts w:asciiTheme="majorHAnsi" w:hAnsiTheme="majorHAnsi" w:cs="Times New Roman"/>
                <w:b/>
                <w:bCs/>
                <w:sz w:val="18"/>
                <w:szCs w:val="18"/>
                <w:u w:val="double"/>
              </w:rPr>
            </w:pPr>
            <w:r w:rsidRPr="00205A13">
              <w:rPr>
                <w:rFonts w:asciiTheme="majorHAnsi" w:hAnsiTheme="majorHAnsi" w:cs="Times New Roman"/>
                <w:b/>
                <w:bCs/>
                <w:sz w:val="18"/>
                <w:szCs w:val="18"/>
                <w:u w:val="double"/>
              </w:rPr>
              <w:t>65.759,02</w:t>
            </w:r>
          </w:p>
        </w:tc>
      </w:tr>
    </w:tbl>
    <w:p w:rsidR="00714748" w:rsidRDefault="00714748" w:rsidP="006C0067">
      <w:pPr>
        <w:shd w:val="clear" w:color="auto" w:fill="FFFFFF"/>
        <w:tabs>
          <w:tab w:val="left" w:pos="8939"/>
        </w:tabs>
        <w:spacing w:before="191"/>
        <w:ind w:firstLine="720"/>
        <w:jc w:val="both"/>
        <w:rPr>
          <w:rFonts w:ascii="Times New Roman" w:hAnsi="Times New Roman" w:cs="Times New Roman"/>
          <w:b/>
          <w:bCs/>
          <w:spacing w:val="-5"/>
          <w:sz w:val="22"/>
          <w:szCs w:val="22"/>
          <w:lang w:val="es-ES_tradnl" w:eastAsia="es-ES_tradnl"/>
        </w:rPr>
      </w:pPr>
    </w:p>
    <w:p w:rsidR="006C0067" w:rsidRPr="001F6884" w:rsidRDefault="00B7600E" w:rsidP="006C0067">
      <w:pPr>
        <w:shd w:val="clear" w:color="auto" w:fill="FFFFFF"/>
        <w:tabs>
          <w:tab w:val="left" w:pos="8939"/>
        </w:tabs>
        <w:spacing w:before="191"/>
        <w:ind w:firstLine="720"/>
        <w:jc w:val="both"/>
        <w:rPr>
          <w:rFonts w:ascii="Times New Roman" w:hAnsi="Times New Roman" w:cs="Times New Roman"/>
          <w:b/>
          <w:bCs/>
          <w:spacing w:val="-5"/>
          <w:sz w:val="22"/>
          <w:szCs w:val="22"/>
          <w:u w:val="double"/>
          <w:lang w:val="es-ES_tradnl" w:eastAsia="es-ES_tradnl"/>
        </w:rPr>
      </w:pPr>
      <w:r w:rsidRPr="001F6884">
        <w:rPr>
          <w:rFonts w:ascii="Times New Roman" w:hAnsi="Times New Roman" w:cs="Times New Roman"/>
          <w:b/>
          <w:bCs/>
          <w:spacing w:val="-5"/>
          <w:sz w:val="22"/>
          <w:szCs w:val="22"/>
          <w:lang w:val="es-ES_tradnl" w:eastAsia="es-ES_tradnl"/>
        </w:rPr>
        <w:t>4</w:t>
      </w:r>
      <w:r w:rsidR="006C0067" w:rsidRPr="001F6884">
        <w:rPr>
          <w:rFonts w:ascii="Times New Roman" w:hAnsi="Times New Roman" w:cs="Times New Roman"/>
          <w:b/>
          <w:bCs/>
          <w:spacing w:val="-5"/>
          <w:sz w:val="22"/>
          <w:szCs w:val="22"/>
          <w:lang w:val="es-ES_tradnl" w:eastAsia="es-ES_tradnl"/>
        </w:rPr>
        <w:t>.</w:t>
      </w:r>
      <w:r w:rsidR="00056B5A" w:rsidRPr="001F6884">
        <w:rPr>
          <w:rFonts w:ascii="Times New Roman" w:hAnsi="Times New Roman" w:cs="Times New Roman"/>
          <w:b/>
          <w:bCs/>
          <w:spacing w:val="-5"/>
          <w:sz w:val="22"/>
          <w:szCs w:val="22"/>
          <w:lang w:val="es-ES_tradnl" w:eastAsia="es-ES_tradnl"/>
        </w:rPr>
        <w:t xml:space="preserve"> </w:t>
      </w:r>
      <w:r w:rsidR="006C0067" w:rsidRPr="001F6884">
        <w:rPr>
          <w:rFonts w:ascii="Times New Roman" w:hAnsi="Times New Roman" w:cs="Times New Roman"/>
          <w:b/>
          <w:bCs/>
          <w:spacing w:val="-5"/>
          <w:sz w:val="22"/>
          <w:szCs w:val="22"/>
          <w:u w:val="double"/>
          <w:lang w:val="es-ES_tradnl" w:eastAsia="es-ES_tradnl"/>
        </w:rPr>
        <w:t>NORMAS DE REGISTRO Y VALORACIÓN</w:t>
      </w:r>
    </w:p>
    <w:p w:rsidR="003932A5" w:rsidRPr="001F6884" w:rsidRDefault="003932A5" w:rsidP="006C0067">
      <w:pPr>
        <w:shd w:val="clear" w:color="auto" w:fill="FFFFFF"/>
        <w:tabs>
          <w:tab w:val="left" w:pos="8939"/>
        </w:tabs>
        <w:spacing w:before="191"/>
        <w:ind w:firstLine="720"/>
        <w:jc w:val="both"/>
        <w:rPr>
          <w:rFonts w:ascii="Times New Roman" w:hAnsi="Times New Roman" w:cs="Times New Roman"/>
          <w:spacing w:val="-17"/>
          <w:sz w:val="14"/>
          <w:szCs w:val="22"/>
          <w:lang w:val="es-ES_tradnl" w:eastAsia="es-ES_tradnl"/>
        </w:rPr>
      </w:pPr>
    </w:p>
    <w:p w:rsidR="003932A5" w:rsidRPr="001F6884" w:rsidRDefault="00B7600E" w:rsidP="003932A5">
      <w:pPr>
        <w:shd w:val="clear" w:color="auto" w:fill="FFFFFF"/>
        <w:ind w:firstLine="709"/>
        <w:jc w:val="both"/>
        <w:rPr>
          <w:rFonts w:ascii="Times New Roman" w:hAnsi="Times New Roman" w:cs="Times New Roman"/>
          <w:b/>
          <w:bCs/>
          <w:spacing w:val="-3"/>
          <w:sz w:val="22"/>
          <w:szCs w:val="22"/>
          <w:lang w:val="es-ES_tradnl" w:eastAsia="es-ES_tradnl"/>
        </w:rPr>
      </w:pPr>
      <w:r w:rsidRPr="001F6884">
        <w:rPr>
          <w:rFonts w:ascii="Times New Roman" w:hAnsi="Times New Roman" w:cs="Times New Roman"/>
          <w:b/>
          <w:bCs/>
          <w:spacing w:val="-3"/>
          <w:sz w:val="22"/>
          <w:szCs w:val="22"/>
          <w:lang w:val="es-ES_tradnl" w:eastAsia="es-ES_tradnl"/>
        </w:rPr>
        <w:t>4</w:t>
      </w:r>
      <w:r w:rsidR="006C0067" w:rsidRPr="001F6884">
        <w:rPr>
          <w:rFonts w:ascii="Times New Roman" w:hAnsi="Times New Roman" w:cs="Times New Roman"/>
          <w:b/>
          <w:bCs/>
          <w:spacing w:val="-3"/>
          <w:sz w:val="22"/>
          <w:szCs w:val="22"/>
          <w:lang w:val="es-ES_tradnl" w:eastAsia="es-ES_tradnl"/>
        </w:rPr>
        <w:t xml:space="preserve">.1 </w:t>
      </w:r>
      <w:r w:rsidR="00A11014" w:rsidRPr="001F6884">
        <w:rPr>
          <w:rFonts w:ascii="Times New Roman" w:hAnsi="Times New Roman" w:cs="Times New Roman"/>
          <w:b/>
          <w:bCs/>
          <w:spacing w:val="-3"/>
          <w:sz w:val="22"/>
          <w:szCs w:val="22"/>
          <w:lang w:val="es-ES_tradnl" w:eastAsia="es-ES_tradnl"/>
        </w:rPr>
        <w:t xml:space="preserve"> </w:t>
      </w:r>
      <w:r w:rsidR="006C0067" w:rsidRPr="001F6884">
        <w:rPr>
          <w:rFonts w:ascii="Times New Roman" w:hAnsi="Times New Roman" w:cs="Times New Roman"/>
          <w:b/>
          <w:bCs/>
          <w:spacing w:val="-3"/>
          <w:sz w:val="22"/>
          <w:szCs w:val="22"/>
          <w:lang w:val="es-ES_tradnl" w:eastAsia="es-ES_tradnl"/>
        </w:rPr>
        <w:t>Inmovilizado intangible:</w:t>
      </w:r>
    </w:p>
    <w:p w:rsidR="003932A5" w:rsidRPr="001F6884" w:rsidRDefault="003932A5" w:rsidP="003932A5">
      <w:pPr>
        <w:shd w:val="clear" w:color="auto" w:fill="FFFFFF"/>
        <w:ind w:firstLine="709"/>
        <w:jc w:val="both"/>
        <w:rPr>
          <w:rFonts w:ascii="Times New Roman" w:hAnsi="Times New Roman" w:cs="Times New Roman"/>
          <w:b/>
          <w:bCs/>
          <w:spacing w:val="-3"/>
          <w:sz w:val="18"/>
          <w:szCs w:val="22"/>
          <w:lang w:val="es-ES_tradnl" w:eastAsia="es-ES_tradnl"/>
        </w:rPr>
      </w:pPr>
    </w:p>
    <w:p w:rsidR="006C0067" w:rsidRPr="001F6884" w:rsidRDefault="006C0067" w:rsidP="000E24D4">
      <w:pPr>
        <w:shd w:val="clear" w:color="auto" w:fill="FFFFFF"/>
        <w:ind w:left="720" w:right="32"/>
        <w:jc w:val="both"/>
        <w:rPr>
          <w:rFonts w:ascii="Times New Roman" w:hAnsi="Times New Roman" w:cs="Times New Roman"/>
          <w:sz w:val="22"/>
          <w:szCs w:val="22"/>
        </w:rPr>
      </w:pPr>
      <w:r w:rsidRPr="001F6884">
        <w:rPr>
          <w:rFonts w:ascii="Times New Roman" w:hAnsi="Times New Roman" w:cs="Times New Roman"/>
          <w:sz w:val="22"/>
          <w:szCs w:val="22"/>
          <w:lang w:val="es-ES_tradnl" w:eastAsia="es-ES_tradnl"/>
        </w:rPr>
        <w:t xml:space="preserve">Los activos intangibles se registran por su coste de adquisición y/o producción y, </w:t>
      </w:r>
      <w:r w:rsidRPr="001F6884">
        <w:rPr>
          <w:rFonts w:ascii="Times New Roman" w:hAnsi="Times New Roman" w:cs="Times New Roman"/>
          <w:spacing w:val="-1"/>
          <w:sz w:val="22"/>
          <w:szCs w:val="22"/>
          <w:lang w:val="es-ES_tradnl" w:eastAsia="es-ES_tradnl"/>
        </w:rPr>
        <w:t xml:space="preserve">posteriormente, se valoran a su coste menos, según proceda, su correspondiente amortización </w:t>
      </w:r>
      <w:r w:rsidRPr="001F6884">
        <w:rPr>
          <w:rFonts w:ascii="Times New Roman" w:hAnsi="Times New Roman" w:cs="Times New Roman"/>
          <w:spacing w:val="-2"/>
          <w:sz w:val="22"/>
          <w:szCs w:val="22"/>
          <w:lang w:val="es-ES_tradnl" w:eastAsia="es-ES_tradnl"/>
        </w:rPr>
        <w:t xml:space="preserve">acumulada y/o pérdidas por deterioro que hayan experimentado. Dichos activos se amortizan en </w:t>
      </w:r>
      <w:r w:rsidRPr="001F6884">
        <w:rPr>
          <w:rFonts w:ascii="Times New Roman" w:hAnsi="Times New Roman" w:cs="Times New Roman"/>
          <w:sz w:val="22"/>
          <w:szCs w:val="22"/>
          <w:lang w:val="es-ES_tradnl" w:eastAsia="es-ES_tradnl"/>
        </w:rPr>
        <w:t>función de su vida útil.</w:t>
      </w:r>
    </w:p>
    <w:p w:rsidR="000E24D4" w:rsidRPr="001F6884" w:rsidRDefault="000E24D4" w:rsidP="000E24D4">
      <w:pPr>
        <w:shd w:val="clear" w:color="auto" w:fill="FFFFFF"/>
        <w:ind w:left="720" w:right="25"/>
        <w:jc w:val="both"/>
        <w:rPr>
          <w:rFonts w:ascii="Times New Roman" w:hAnsi="Times New Roman" w:cs="Times New Roman"/>
          <w:spacing w:val="-2"/>
          <w:sz w:val="22"/>
          <w:szCs w:val="22"/>
          <w:lang w:val="es-ES_tradnl" w:eastAsia="es-ES_tradnl"/>
        </w:rPr>
      </w:pPr>
    </w:p>
    <w:p w:rsidR="006C0067" w:rsidRPr="001F6884" w:rsidRDefault="006C0067" w:rsidP="000E24D4">
      <w:pPr>
        <w:shd w:val="clear" w:color="auto" w:fill="FFFFFF"/>
        <w:ind w:left="720" w:right="25"/>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La Sociedad reconoce cualquier pérdida que haya podido producirse en el valor registrado de estos activos con origen en su deterioro, los criterios para el reconocimiento de las pérdidas por </w:t>
      </w:r>
      <w:r w:rsidRPr="001F6884">
        <w:rPr>
          <w:rFonts w:ascii="Times New Roman" w:hAnsi="Times New Roman" w:cs="Times New Roman"/>
          <w:sz w:val="22"/>
          <w:szCs w:val="22"/>
          <w:lang w:val="es-ES_tradnl" w:eastAsia="es-ES_tradnl"/>
        </w:rPr>
        <w:t xml:space="preserve">deterioro de estos activos y, en su caso, de las recuperaciones de las pérdidas por deterioro </w:t>
      </w:r>
      <w:r w:rsidRPr="001F6884">
        <w:rPr>
          <w:rFonts w:ascii="Times New Roman" w:hAnsi="Times New Roman" w:cs="Times New Roman"/>
          <w:spacing w:val="-2"/>
          <w:sz w:val="22"/>
          <w:szCs w:val="22"/>
          <w:lang w:val="es-ES_tradnl" w:eastAsia="es-ES_tradnl"/>
        </w:rPr>
        <w:t>registradas en ejercicios anteriores son similares a los aplicados para los activos materiales.</w:t>
      </w:r>
    </w:p>
    <w:p w:rsidR="00205A13" w:rsidRDefault="00205A13" w:rsidP="000E24D4">
      <w:pPr>
        <w:shd w:val="clear" w:color="auto" w:fill="FFFFFF"/>
        <w:spacing w:before="216"/>
        <w:ind w:firstLine="708"/>
        <w:jc w:val="both"/>
        <w:rPr>
          <w:rFonts w:ascii="Times New Roman" w:hAnsi="Times New Roman" w:cs="Times New Roman"/>
          <w:spacing w:val="-2"/>
          <w:sz w:val="22"/>
          <w:szCs w:val="22"/>
          <w:u w:val="single"/>
          <w:lang w:val="es-ES_tradnl" w:eastAsia="es-ES_tradnl"/>
        </w:rPr>
      </w:pPr>
    </w:p>
    <w:p w:rsidR="00205A13" w:rsidRDefault="00205A13" w:rsidP="000E24D4">
      <w:pPr>
        <w:shd w:val="clear" w:color="auto" w:fill="FFFFFF"/>
        <w:spacing w:before="216"/>
        <w:ind w:firstLine="708"/>
        <w:jc w:val="both"/>
        <w:rPr>
          <w:rFonts w:ascii="Times New Roman" w:hAnsi="Times New Roman" w:cs="Times New Roman"/>
          <w:spacing w:val="-2"/>
          <w:sz w:val="22"/>
          <w:szCs w:val="22"/>
          <w:u w:val="single"/>
          <w:lang w:val="es-ES_tradnl" w:eastAsia="es-ES_tradnl"/>
        </w:rPr>
      </w:pPr>
    </w:p>
    <w:p w:rsidR="006C0067" w:rsidRPr="001F6884" w:rsidRDefault="006C0067" w:rsidP="000E24D4">
      <w:pPr>
        <w:shd w:val="clear" w:color="auto" w:fill="FFFFFF"/>
        <w:spacing w:before="216"/>
        <w:ind w:firstLine="708"/>
        <w:jc w:val="both"/>
        <w:rPr>
          <w:rFonts w:ascii="Times New Roman" w:hAnsi="Times New Roman" w:cs="Times New Roman"/>
          <w:sz w:val="22"/>
          <w:szCs w:val="22"/>
        </w:rPr>
      </w:pPr>
      <w:r w:rsidRPr="001F6884">
        <w:rPr>
          <w:rFonts w:ascii="Times New Roman" w:hAnsi="Times New Roman" w:cs="Times New Roman"/>
          <w:spacing w:val="-2"/>
          <w:sz w:val="22"/>
          <w:szCs w:val="22"/>
          <w:u w:val="single"/>
          <w:lang w:val="es-ES_tradnl" w:eastAsia="es-ES_tradnl"/>
        </w:rPr>
        <w:t>Aplicaciones informáticas</w:t>
      </w:r>
    </w:p>
    <w:p w:rsidR="006C0067" w:rsidRPr="001F6884" w:rsidRDefault="006C0067" w:rsidP="00056B5A">
      <w:pPr>
        <w:shd w:val="clear" w:color="auto" w:fill="FFFFFF"/>
        <w:spacing w:before="205"/>
        <w:ind w:left="720" w:right="18"/>
        <w:jc w:val="both"/>
        <w:rPr>
          <w:rFonts w:ascii="Times New Roman" w:hAnsi="Times New Roman" w:cs="Times New Roman"/>
          <w:sz w:val="22"/>
          <w:szCs w:val="22"/>
        </w:rPr>
      </w:pPr>
      <w:r w:rsidRPr="001F6884">
        <w:rPr>
          <w:rFonts w:ascii="Times New Roman" w:hAnsi="Times New Roman" w:cs="Times New Roman"/>
          <w:spacing w:val="-1"/>
          <w:sz w:val="22"/>
          <w:szCs w:val="22"/>
          <w:lang w:val="es-ES_tradnl" w:eastAsia="es-ES_tradnl"/>
        </w:rPr>
        <w:t xml:space="preserve">Los costes de adquisición y desarrollo incurridos en relación con los sistemas informáticos </w:t>
      </w:r>
      <w:r w:rsidRPr="001F6884">
        <w:rPr>
          <w:rFonts w:ascii="Times New Roman" w:hAnsi="Times New Roman" w:cs="Times New Roman"/>
          <w:spacing w:val="-2"/>
          <w:sz w:val="22"/>
          <w:szCs w:val="22"/>
          <w:lang w:val="es-ES_tradnl" w:eastAsia="es-ES_tradnl"/>
        </w:rPr>
        <w:t xml:space="preserve">básicos en la gestión de la Sociedad se registran con cargo al epígrafe "Aplicaciones informáticas" </w:t>
      </w:r>
      <w:r w:rsidRPr="001F6884">
        <w:rPr>
          <w:rFonts w:ascii="Times New Roman" w:hAnsi="Times New Roman" w:cs="Times New Roman"/>
          <w:sz w:val="22"/>
          <w:szCs w:val="22"/>
          <w:lang w:val="es-ES_tradnl" w:eastAsia="es-ES_tradnl"/>
        </w:rPr>
        <w:t>del balance de situación.</w:t>
      </w:r>
    </w:p>
    <w:p w:rsidR="006C0067" w:rsidRPr="001F6884" w:rsidRDefault="006C0067" w:rsidP="00056B5A">
      <w:pPr>
        <w:shd w:val="clear" w:color="auto" w:fill="FFFFFF"/>
        <w:spacing w:before="230"/>
        <w:ind w:left="720" w:right="14"/>
        <w:jc w:val="both"/>
        <w:rPr>
          <w:rFonts w:ascii="Times New Roman" w:hAnsi="Times New Roman" w:cs="Times New Roman"/>
          <w:sz w:val="22"/>
          <w:szCs w:val="22"/>
        </w:rPr>
      </w:pPr>
      <w:r w:rsidRPr="001F6884">
        <w:rPr>
          <w:rFonts w:ascii="Times New Roman" w:hAnsi="Times New Roman" w:cs="Times New Roman"/>
          <w:spacing w:val="-3"/>
          <w:sz w:val="22"/>
          <w:szCs w:val="22"/>
          <w:lang w:val="es-ES_tradnl" w:eastAsia="es-ES_tradnl"/>
        </w:rPr>
        <w:t xml:space="preserve">Los costes de mantenimiento de los sistemas informáticos se registran con cargo a la cuenta de </w:t>
      </w:r>
      <w:r w:rsidRPr="001F6884">
        <w:rPr>
          <w:rFonts w:ascii="Times New Roman" w:hAnsi="Times New Roman" w:cs="Times New Roman"/>
          <w:sz w:val="22"/>
          <w:szCs w:val="22"/>
          <w:lang w:val="es-ES_tradnl" w:eastAsia="es-ES_tradnl"/>
        </w:rPr>
        <w:t>resultados del ejercicio en que se incurren.</w:t>
      </w:r>
    </w:p>
    <w:p w:rsidR="006C0067" w:rsidRPr="001F6884" w:rsidRDefault="006C0067" w:rsidP="00056B5A">
      <w:pPr>
        <w:shd w:val="clear" w:color="auto" w:fill="FFFFFF"/>
        <w:spacing w:before="230"/>
        <w:ind w:left="720" w:right="14"/>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La amortización de las aplicaciones informáticas se realiza linealmente en un periodo entre 3 y 4 años.</w:t>
      </w:r>
    </w:p>
    <w:p w:rsidR="006C0067" w:rsidRPr="001F6884" w:rsidRDefault="006C0067" w:rsidP="00056B5A">
      <w:pPr>
        <w:shd w:val="clear" w:color="auto" w:fill="FFFFFF"/>
        <w:spacing w:before="240"/>
        <w:ind w:firstLine="708"/>
        <w:jc w:val="both"/>
        <w:rPr>
          <w:rFonts w:ascii="Times New Roman" w:hAnsi="Times New Roman" w:cs="Times New Roman"/>
          <w:sz w:val="22"/>
          <w:szCs w:val="22"/>
        </w:rPr>
      </w:pPr>
      <w:r w:rsidRPr="001F6884">
        <w:rPr>
          <w:rFonts w:ascii="Times New Roman" w:hAnsi="Times New Roman" w:cs="Times New Roman"/>
          <w:spacing w:val="-3"/>
          <w:sz w:val="22"/>
          <w:szCs w:val="22"/>
          <w:u w:val="single"/>
          <w:lang w:val="es-ES_tradnl" w:eastAsia="es-ES_tradnl"/>
        </w:rPr>
        <w:t>Propiedad Industrial:</w:t>
      </w:r>
    </w:p>
    <w:p w:rsidR="006C0067" w:rsidRPr="001F6884" w:rsidRDefault="00FF7F64" w:rsidP="00FF7F64">
      <w:pPr>
        <w:shd w:val="clear" w:color="auto" w:fill="FFFFFF"/>
        <w:spacing w:before="205"/>
        <w:ind w:left="720" w:right="18"/>
        <w:jc w:val="both"/>
        <w:rPr>
          <w:rFonts w:ascii="Times New Roman" w:hAnsi="Times New Roman" w:cs="Times New Roman"/>
          <w:sz w:val="22"/>
          <w:szCs w:val="22"/>
        </w:rPr>
      </w:pPr>
      <w:r w:rsidRPr="001F6884">
        <w:rPr>
          <w:rFonts w:ascii="Times New Roman" w:hAnsi="Times New Roman" w:cs="Times New Roman"/>
          <w:spacing w:val="-1"/>
          <w:sz w:val="22"/>
          <w:szCs w:val="22"/>
          <w:lang w:val="es-ES_tradnl" w:eastAsia="es-ES_tradnl"/>
        </w:rPr>
        <w:t xml:space="preserve">Los costes de adquisición y desarrollo incurridos en relación con la Propiedad Industrial </w:t>
      </w:r>
      <w:r w:rsidRPr="001F6884">
        <w:rPr>
          <w:rFonts w:ascii="Times New Roman" w:hAnsi="Times New Roman" w:cs="Times New Roman"/>
          <w:spacing w:val="-2"/>
          <w:sz w:val="22"/>
          <w:szCs w:val="22"/>
          <w:lang w:val="es-ES_tradnl" w:eastAsia="es-ES_tradnl"/>
        </w:rPr>
        <w:t>se registran con cargo al epígrafe "Propiedad Industrial de</w:t>
      </w:r>
      <w:r w:rsidRPr="001F6884">
        <w:rPr>
          <w:rFonts w:ascii="Times New Roman" w:hAnsi="Times New Roman" w:cs="Times New Roman"/>
          <w:sz w:val="22"/>
          <w:szCs w:val="22"/>
          <w:lang w:val="es-ES_tradnl" w:eastAsia="es-ES_tradnl"/>
        </w:rPr>
        <w:t>l balance de situación.</w:t>
      </w:r>
      <w:r w:rsidRPr="001F6884">
        <w:rPr>
          <w:rFonts w:ascii="Times New Roman" w:hAnsi="Times New Roman" w:cs="Times New Roman"/>
          <w:sz w:val="22"/>
          <w:szCs w:val="22"/>
        </w:rPr>
        <w:t xml:space="preserve"> </w:t>
      </w:r>
      <w:r w:rsidR="006C0067" w:rsidRPr="001F6884">
        <w:rPr>
          <w:rFonts w:ascii="Times New Roman" w:hAnsi="Times New Roman" w:cs="Times New Roman"/>
          <w:sz w:val="22"/>
          <w:szCs w:val="22"/>
          <w:lang w:val="es-ES_tradnl" w:eastAsia="es-ES_tradnl"/>
        </w:rPr>
        <w:t xml:space="preserve">Se ha incluido en el activo del balance esta partida, ya que cumple los requisitos </w:t>
      </w:r>
      <w:r w:rsidR="006C0067" w:rsidRPr="001F6884">
        <w:rPr>
          <w:rFonts w:ascii="Times New Roman" w:hAnsi="Times New Roman" w:cs="Times New Roman"/>
          <w:spacing w:val="-3"/>
          <w:sz w:val="22"/>
          <w:szCs w:val="22"/>
          <w:lang w:val="es-ES_tradnl" w:eastAsia="es-ES_tradnl"/>
        </w:rPr>
        <w:t>especificados en las normas de registro y de valoración. Se amortiza linealmente durante 4 años.</w:t>
      </w:r>
    </w:p>
    <w:p w:rsidR="002523DB" w:rsidRPr="001F6884" w:rsidRDefault="002523DB" w:rsidP="00717FE8">
      <w:pPr>
        <w:shd w:val="clear" w:color="auto" w:fill="FFFFFF"/>
        <w:ind w:right="14"/>
        <w:jc w:val="both"/>
        <w:rPr>
          <w:rFonts w:ascii="Times New Roman" w:hAnsi="Times New Roman" w:cs="Times New Roman"/>
          <w:sz w:val="22"/>
          <w:szCs w:val="22"/>
        </w:rPr>
      </w:pPr>
    </w:p>
    <w:p w:rsidR="002523DB" w:rsidRPr="001F6884" w:rsidRDefault="006C0067" w:rsidP="002523DB">
      <w:pPr>
        <w:shd w:val="clear" w:color="auto" w:fill="FFFFFF"/>
        <w:ind w:left="720" w:right="6"/>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z w:val="22"/>
          <w:szCs w:val="22"/>
          <w:lang w:val="es-ES_tradnl" w:eastAsia="es-ES_tradnl"/>
        </w:rPr>
        <w:t xml:space="preserve">En la fecha de cierre de cada ejercicio la Sociedad evalúa la existencia de indicios de </w:t>
      </w:r>
      <w:r w:rsidRPr="001F6884">
        <w:rPr>
          <w:rFonts w:ascii="Times New Roman" w:hAnsi="Times New Roman" w:cs="Times New Roman"/>
          <w:spacing w:val="-1"/>
          <w:sz w:val="22"/>
          <w:szCs w:val="22"/>
          <w:lang w:val="es-ES_tradnl" w:eastAsia="es-ES_tradnl"/>
        </w:rPr>
        <w:t xml:space="preserve">deterioro de cada elemento del inmovilizado intangible. De existir estos indicios, se compara el </w:t>
      </w:r>
      <w:r w:rsidRPr="001F6884">
        <w:rPr>
          <w:rFonts w:ascii="Times New Roman" w:hAnsi="Times New Roman" w:cs="Times New Roman"/>
          <w:spacing w:val="-3"/>
          <w:sz w:val="22"/>
          <w:szCs w:val="22"/>
          <w:lang w:val="es-ES_tradnl" w:eastAsia="es-ES_tradnl"/>
        </w:rPr>
        <w:t xml:space="preserve">valor en libros de cada uno de los elementos del inmovilizado con su valor recuperable, siendo este el mayor entre su valor razonable menos el coste de venta y el valor en uso.     </w:t>
      </w:r>
    </w:p>
    <w:p w:rsidR="002523DB" w:rsidRPr="001F6884" w:rsidRDefault="002523DB" w:rsidP="002523DB">
      <w:pPr>
        <w:shd w:val="clear" w:color="auto" w:fill="FFFFFF"/>
        <w:ind w:left="720" w:right="6"/>
        <w:jc w:val="both"/>
        <w:rPr>
          <w:rFonts w:ascii="Times New Roman" w:hAnsi="Times New Roman" w:cs="Times New Roman"/>
          <w:spacing w:val="-3"/>
          <w:sz w:val="22"/>
          <w:szCs w:val="22"/>
          <w:lang w:val="es-ES_tradnl" w:eastAsia="es-ES_tradnl"/>
        </w:rPr>
      </w:pPr>
    </w:p>
    <w:p w:rsidR="006C0067" w:rsidRPr="001F6884" w:rsidRDefault="006C0067" w:rsidP="002523DB">
      <w:pPr>
        <w:shd w:val="clear" w:color="auto" w:fill="FFFFFF"/>
        <w:ind w:left="720" w:right="6"/>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2"/>
          <w:sz w:val="22"/>
          <w:szCs w:val="22"/>
          <w:lang w:val="es-ES_tradnl" w:eastAsia="es-ES_tradnl"/>
        </w:rPr>
        <w:t>En el supuesto de que el valor recuperable sea inferior al valor en libro, se reduce su valor en libros hasta alcanzar el valor recuperable, registrándose una pérdida por deterioro de valor.</w:t>
      </w:r>
    </w:p>
    <w:p w:rsidR="006C0067" w:rsidRPr="001F6884" w:rsidRDefault="006C0067" w:rsidP="00056B5A">
      <w:pPr>
        <w:shd w:val="clear" w:color="auto" w:fill="FFFFFF"/>
        <w:spacing w:before="245"/>
        <w:ind w:left="720" w:right="11"/>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En el supuesto de que se revierta la pérdida por deterioro, el establecimiento de los valores </w:t>
      </w:r>
      <w:r w:rsidRPr="001F6884">
        <w:rPr>
          <w:rFonts w:ascii="Times New Roman" w:hAnsi="Times New Roman" w:cs="Times New Roman"/>
          <w:spacing w:val="-1"/>
          <w:sz w:val="22"/>
          <w:szCs w:val="22"/>
          <w:lang w:val="es-ES_tradnl" w:eastAsia="es-ES_tradnl"/>
        </w:rPr>
        <w:t xml:space="preserve">no superará el valor en libros que habría tenido los elementos del inmovilizado de no haberse </w:t>
      </w:r>
      <w:r w:rsidRPr="001F6884">
        <w:rPr>
          <w:rFonts w:ascii="Times New Roman" w:hAnsi="Times New Roman" w:cs="Times New Roman"/>
          <w:sz w:val="22"/>
          <w:szCs w:val="22"/>
          <w:lang w:val="es-ES_tradnl" w:eastAsia="es-ES_tradnl"/>
        </w:rPr>
        <w:t>reconocido la pérdida por deterioro.</w:t>
      </w:r>
    </w:p>
    <w:p w:rsidR="00FF7F64" w:rsidRPr="001F6884" w:rsidRDefault="00FF7F64" w:rsidP="006C0067">
      <w:pPr>
        <w:shd w:val="clear" w:color="auto" w:fill="FFFFFF"/>
        <w:ind w:left="720" w:right="11" w:firstLine="720"/>
        <w:jc w:val="both"/>
        <w:rPr>
          <w:rFonts w:ascii="Times New Roman" w:hAnsi="Times New Roman" w:cs="Times New Roman"/>
          <w:sz w:val="22"/>
          <w:szCs w:val="22"/>
          <w:lang w:val="es-ES_tradnl"/>
        </w:rPr>
      </w:pPr>
    </w:p>
    <w:p w:rsidR="006C0067" w:rsidRPr="001F6884" w:rsidRDefault="005461DE" w:rsidP="00056B5A">
      <w:pPr>
        <w:shd w:val="clear" w:color="auto" w:fill="FFFFFF"/>
        <w:ind w:right="11" w:firstLine="708"/>
        <w:jc w:val="both"/>
        <w:rPr>
          <w:rFonts w:ascii="Times New Roman" w:hAnsi="Times New Roman" w:cs="Times New Roman"/>
          <w:sz w:val="22"/>
          <w:szCs w:val="22"/>
        </w:rPr>
      </w:pPr>
      <w:r w:rsidRPr="001F6884">
        <w:rPr>
          <w:rFonts w:ascii="Times New Roman" w:hAnsi="Times New Roman" w:cs="Times New Roman"/>
          <w:b/>
          <w:bCs/>
          <w:spacing w:val="-3"/>
          <w:sz w:val="22"/>
          <w:szCs w:val="22"/>
          <w:lang w:val="es-ES_tradnl" w:eastAsia="es-ES_tradnl"/>
        </w:rPr>
        <w:t>4</w:t>
      </w:r>
      <w:r w:rsidR="006C0067" w:rsidRPr="001F6884">
        <w:rPr>
          <w:rFonts w:ascii="Times New Roman" w:hAnsi="Times New Roman" w:cs="Times New Roman"/>
          <w:b/>
          <w:bCs/>
          <w:spacing w:val="-3"/>
          <w:sz w:val="22"/>
          <w:szCs w:val="22"/>
          <w:lang w:val="es-ES_tradnl" w:eastAsia="es-ES_tradnl"/>
        </w:rPr>
        <w:t>.2 Inmovilizado material:</w:t>
      </w:r>
    </w:p>
    <w:p w:rsidR="006C0067" w:rsidRPr="001F6884" w:rsidRDefault="006C0067" w:rsidP="00056B5A">
      <w:pPr>
        <w:shd w:val="clear" w:color="auto" w:fill="FFFFFF"/>
        <w:spacing w:before="245"/>
        <w:ind w:left="720" w:right="11"/>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Los bienes comprendidos en el inmovilizado material se valoran </w:t>
      </w:r>
      <w:r w:rsidRPr="001F6884">
        <w:rPr>
          <w:rFonts w:ascii="Times New Roman" w:hAnsi="Times New Roman" w:cs="Times New Roman"/>
          <w:bCs/>
          <w:spacing w:val="-2"/>
          <w:sz w:val="22"/>
          <w:szCs w:val="22"/>
          <w:lang w:val="es-ES_tradnl" w:eastAsia="es-ES_tradnl"/>
        </w:rPr>
        <w:t xml:space="preserve">a </w:t>
      </w:r>
      <w:r w:rsidRPr="001F6884">
        <w:rPr>
          <w:rFonts w:ascii="Times New Roman" w:hAnsi="Times New Roman" w:cs="Times New Roman"/>
          <w:spacing w:val="-2"/>
          <w:sz w:val="22"/>
          <w:szCs w:val="22"/>
          <w:lang w:val="es-ES_tradnl" w:eastAsia="es-ES_tradnl"/>
        </w:rPr>
        <w:t xml:space="preserve">precio de adquisición o al coste de producción, incluyéndose aquellos impuestos indirectos que no sean recuperables </w:t>
      </w:r>
      <w:r w:rsidRPr="001F6884">
        <w:rPr>
          <w:rFonts w:ascii="Times New Roman" w:hAnsi="Times New Roman" w:cs="Times New Roman"/>
          <w:sz w:val="22"/>
          <w:szCs w:val="22"/>
          <w:lang w:val="es-ES_tradnl" w:eastAsia="es-ES_tradnl"/>
        </w:rPr>
        <w:t>directamente de la Hacienda Pública.</w:t>
      </w:r>
    </w:p>
    <w:p w:rsidR="006C0067" w:rsidRPr="001F6884" w:rsidRDefault="006C0067" w:rsidP="0060635D">
      <w:pPr>
        <w:shd w:val="clear" w:color="auto" w:fill="FFFFFF"/>
        <w:spacing w:before="227"/>
        <w:ind w:left="709" w:right="7"/>
        <w:jc w:val="both"/>
        <w:rPr>
          <w:rFonts w:ascii="Times New Roman" w:hAnsi="Times New Roman" w:cs="Times New Roman"/>
          <w:sz w:val="22"/>
          <w:szCs w:val="22"/>
        </w:rPr>
      </w:pPr>
      <w:r w:rsidRPr="001F6884">
        <w:rPr>
          <w:rFonts w:ascii="Times New Roman" w:hAnsi="Times New Roman" w:cs="Times New Roman"/>
          <w:spacing w:val="-2"/>
          <w:sz w:val="22"/>
          <w:szCs w:val="22"/>
          <w:lang w:val="es-ES_tradnl" w:eastAsia="es-ES_tradnl"/>
        </w:rPr>
        <w:t xml:space="preserve">Forman parte de la valoración inicial del inmovilizado material los costes financieros </w:t>
      </w:r>
      <w:r w:rsidRPr="001F6884">
        <w:rPr>
          <w:rFonts w:ascii="Times New Roman" w:hAnsi="Times New Roman" w:cs="Times New Roman"/>
          <w:sz w:val="22"/>
          <w:szCs w:val="22"/>
          <w:lang w:val="es-ES_tradnl" w:eastAsia="es-ES_tradnl"/>
        </w:rPr>
        <w:t xml:space="preserve">devengados antes de la puesta en condiciones de funcionamiento, correspondientes a la </w:t>
      </w:r>
      <w:r w:rsidRPr="001F6884">
        <w:rPr>
          <w:rFonts w:ascii="Times New Roman" w:hAnsi="Times New Roman" w:cs="Times New Roman"/>
          <w:spacing w:val="-3"/>
          <w:sz w:val="22"/>
          <w:szCs w:val="22"/>
          <w:lang w:val="es-ES_tradnl" w:eastAsia="es-ES_tradnl"/>
        </w:rPr>
        <w:t xml:space="preserve">financiación de aquellos bienes que necesiten un período de tiempo superior a un año para estar en </w:t>
      </w:r>
      <w:r w:rsidRPr="001F6884">
        <w:rPr>
          <w:rFonts w:ascii="Times New Roman" w:hAnsi="Times New Roman" w:cs="Times New Roman"/>
          <w:sz w:val="22"/>
          <w:szCs w:val="22"/>
          <w:lang w:val="es-ES_tradnl" w:eastAsia="es-ES_tradnl"/>
        </w:rPr>
        <w:t>condiciones de uso.</w:t>
      </w:r>
    </w:p>
    <w:p w:rsidR="006C0067" w:rsidRPr="001F6884" w:rsidRDefault="006C0067" w:rsidP="00056B5A">
      <w:pPr>
        <w:shd w:val="clear" w:color="auto" w:fill="FFFFFF"/>
        <w:spacing w:before="216"/>
        <w:ind w:left="720" w:right="11"/>
        <w:jc w:val="both"/>
        <w:rPr>
          <w:rFonts w:ascii="Times New Roman" w:hAnsi="Times New Roman" w:cs="Times New Roman"/>
          <w:sz w:val="22"/>
          <w:szCs w:val="22"/>
          <w:lang w:val="es-ES_tradnl" w:eastAsia="es-ES_tradnl"/>
        </w:rPr>
      </w:pPr>
      <w:r w:rsidRPr="001F6884">
        <w:rPr>
          <w:rFonts w:ascii="Times New Roman" w:hAnsi="Times New Roman" w:cs="Times New Roman"/>
          <w:spacing w:val="-4"/>
          <w:sz w:val="22"/>
          <w:szCs w:val="22"/>
          <w:lang w:val="es-ES_tradnl" w:eastAsia="es-ES_tradnl"/>
        </w:rPr>
        <w:t xml:space="preserve">Los costes de ampliación, modernización o mejora son incorporados al activo como mayor </w:t>
      </w:r>
      <w:r w:rsidRPr="001F6884">
        <w:rPr>
          <w:rFonts w:ascii="Times New Roman" w:hAnsi="Times New Roman" w:cs="Times New Roman"/>
          <w:spacing w:val="-2"/>
          <w:sz w:val="22"/>
          <w:szCs w:val="22"/>
          <w:lang w:val="es-ES_tradnl" w:eastAsia="es-ES_tradnl"/>
        </w:rPr>
        <w:t xml:space="preserve">valor del bien exclusivamente cuando suponen un aumento de su capacidad, productividad o prolongación de su vida útil, y siempre que sea posible conocer o estimar el valor contable de los </w:t>
      </w:r>
      <w:r w:rsidRPr="001F6884">
        <w:rPr>
          <w:rFonts w:ascii="Times New Roman" w:hAnsi="Times New Roman" w:cs="Times New Roman"/>
          <w:sz w:val="22"/>
          <w:szCs w:val="22"/>
          <w:lang w:val="es-ES_tradnl" w:eastAsia="es-ES_tradnl"/>
        </w:rPr>
        <w:t>elementos que resultan dados de baja por haber sido sustituidos.</w:t>
      </w:r>
    </w:p>
    <w:p w:rsidR="006C0067" w:rsidRPr="001F6884" w:rsidRDefault="006C0067" w:rsidP="00E60B2C">
      <w:pPr>
        <w:shd w:val="clear" w:color="auto" w:fill="FFFFFF"/>
        <w:spacing w:before="230"/>
        <w:ind w:left="720" w:right="14"/>
        <w:jc w:val="both"/>
        <w:rPr>
          <w:rFonts w:ascii="Times New Roman" w:hAnsi="Times New Roman" w:cs="Times New Roman"/>
          <w:sz w:val="22"/>
          <w:szCs w:val="22"/>
        </w:rPr>
      </w:pPr>
      <w:r w:rsidRPr="001F6884">
        <w:rPr>
          <w:rFonts w:ascii="Times New Roman" w:hAnsi="Times New Roman" w:cs="Times New Roman"/>
          <w:spacing w:val="-1"/>
          <w:sz w:val="22"/>
          <w:szCs w:val="22"/>
          <w:lang w:val="es-ES_tradnl" w:eastAsia="es-ES_tradnl"/>
        </w:rPr>
        <w:t xml:space="preserve">Los gastos de reparaciones que no representan una ampliación de la vida útil y los gastos </w:t>
      </w:r>
      <w:r w:rsidRPr="001F6884">
        <w:rPr>
          <w:rFonts w:ascii="Times New Roman" w:hAnsi="Times New Roman" w:cs="Times New Roman"/>
          <w:spacing w:val="-2"/>
          <w:sz w:val="22"/>
          <w:szCs w:val="22"/>
          <w:lang w:val="es-ES_tradnl" w:eastAsia="es-ES_tradnl"/>
        </w:rPr>
        <w:t xml:space="preserve">de mantenimiento y conservación se imputan directamente a la cuenta de pérdidas y ganancias, </w:t>
      </w:r>
      <w:r w:rsidRPr="001F6884">
        <w:rPr>
          <w:rFonts w:ascii="Times New Roman" w:hAnsi="Times New Roman" w:cs="Times New Roman"/>
          <w:spacing w:val="-3"/>
          <w:sz w:val="22"/>
          <w:szCs w:val="22"/>
          <w:lang w:val="es-ES_tradnl" w:eastAsia="es-ES_tradnl"/>
        </w:rPr>
        <w:t>siguiendo el principio del devengo, como gasto del ejercicio en que se incurren.</w:t>
      </w:r>
    </w:p>
    <w:p w:rsidR="006C0067" w:rsidRPr="001F6884" w:rsidRDefault="006C0067" w:rsidP="00E60B2C">
      <w:pPr>
        <w:shd w:val="clear" w:color="auto" w:fill="FFFFFF"/>
        <w:spacing w:before="241"/>
        <w:ind w:left="720" w:right="4"/>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La amortización de estos activos comienza cuando los activos están en condiciones de </w:t>
      </w:r>
      <w:r w:rsidRPr="001F6884">
        <w:rPr>
          <w:rFonts w:ascii="Times New Roman" w:hAnsi="Times New Roman" w:cs="Times New Roman"/>
          <w:sz w:val="22"/>
          <w:szCs w:val="22"/>
          <w:lang w:val="es-ES_tradnl" w:eastAsia="es-ES_tradnl"/>
        </w:rPr>
        <w:t>funcionamiento.</w:t>
      </w:r>
    </w:p>
    <w:p w:rsidR="005461DE" w:rsidRPr="001F6884" w:rsidRDefault="005461DE" w:rsidP="005461DE">
      <w:pPr>
        <w:shd w:val="clear" w:color="auto" w:fill="FFFFFF"/>
        <w:spacing w:before="241"/>
        <w:ind w:left="720" w:right="4"/>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La amortización se calcula, aplicando el método lineal, sobre el coste de adquisición de los activos menos su valor residual; entendiéndose que los terrenos sobre los que se asientan los edificios y otras construcciones tienen una vida útil indefinida y que, por tanto, no son objeto de amortización.</w:t>
      </w:r>
    </w:p>
    <w:p w:rsidR="005461DE" w:rsidRDefault="005461DE" w:rsidP="002523DB">
      <w:pPr>
        <w:shd w:val="clear" w:color="auto" w:fill="FFFFFF"/>
        <w:ind w:left="720"/>
        <w:jc w:val="both"/>
        <w:rPr>
          <w:rFonts w:ascii="Times New Roman" w:hAnsi="Times New Roman" w:cs="Times New Roman"/>
          <w:spacing w:val="-2"/>
          <w:sz w:val="22"/>
          <w:szCs w:val="22"/>
          <w:lang w:val="es-ES_tradnl" w:eastAsia="es-ES_tradnl"/>
        </w:rPr>
      </w:pPr>
    </w:p>
    <w:p w:rsidR="00205A13" w:rsidRDefault="00205A13" w:rsidP="002523DB">
      <w:pPr>
        <w:shd w:val="clear" w:color="auto" w:fill="FFFFFF"/>
        <w:ind w:left="720"/>
        <w:jc w:val="both"/>
        <w:rPr>
          <w:rFonts w:ascii="Times New Roman" w:hAnsi="Times New Roman" w:cs="Times New Roman"/>
          <w:spacing w:val="-2"/>
          <w:sz w:val="22"/>
          <w:szCs w:val="22"/>
          <w:lang w:val="es-ES_tradnl" w:eastAsia="es-ES_tradnl"/>
        </w:rPr>
      </w:pPr>
    </w:p>
    <w:p w:rsidR="00205A13" w:rsidRPr="001F6884" w:rsidRDefault="00205A13" w:rsidP="002523DB">
      <w:pPr>
        <w:shd w:val="clear" w:color="auto" w:fill="FFFFFF"/>
        <w:ind w:left="720"/>
        <w:jc w:val="both"/>
        <w:rPr>
          <w:rFonts w:ascii="Times New Roman" w:hAnsi="Times New Roman" w:cs="Times New Roman"/>
          <w:spacing w:val="-2"/>
          <w:sz w:val="22"/>
          <w:szCs w:val="22"/>
          <w:lang w:val="es-ES_tradnl" w:eastAsia="es-ES_tradnl"/>
        </w:rPr>
      </w:pPr>
    </w:p>
    <w:p w:rsidR="006C0067" w:rsidRPr="001F6884" w:rsidRDefault="006C0067" w:rsidP="002523DB">
      <w:pPr>
        <w:shd w:val="clear" w:color="auto" w:fill="FFFFFF"/>
        <w:ind w:left="720"/>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Las dotaciones anuales en concepto de amortización de los activos materiales se imputan a la cuenta de pérdidas y ganancias, en función de la vida útil estimada de los diferentes elementos, </w:t>
      </w:r>
      <w:r w:rsidRPr="001F6884">
        <w:rPr>
          <w:rFonts w:ascii="Times New Roman" w:hAnsi="Times New Roman" w:cs="Times New Roman"/>
          <w:spacing w:val="-1"/>
          <w:sz w:val="22"/>
          <w:szCs w:val="22"/>
          <w:lang w:val="es-ES_tradnl" w:eastAsia="es-ES_tradnl"/>
        </w:rPr>
        <w:t xml:space="preserve">atendiendo a la depreciación efectiva sufrida por su funcionamiento, uso y disfrute. Los años de </w:t>
      </w:r>
      <w:r w:rsidRPr="001F6884">
        <w:rPr>
          <w:rFonts w:ascii="Times New Roman" w:hAnsi="Times New Roman" w:cs="Times New Roman"/>
          <w:sz w:val="22"/>
          <w:szCs w:val="22"/>
          <w:lang w:val="es-ES_tradnl" w:eastAsia="es-ES_tradnl"/>
        </w:rPr>
        <w:t>vida útil estimada son los siguientes:</w:t>
      </w:r>
    </w:p>
    <w:p w:rsidR="004862F5" w:rsidRPr="001F6884" w:rsidRDefault="004862F5" w:rsidP="002523DB">
      <w:pPr>
        <w:shd w:val="clear" w:color="auto" w:fill="FFFFFF"/>
        <w:ind w:left="720"/>
        <w:jc w:val="both"/>
        <w:rPr>
          <w:rFonts w:ascii="Times New Roman" w:hAnsi="Times New Roman" w:cs="Times New Roman"/>
          <w:sz w:val="22"/>
          <w:szCs w:val="22"/>
          <w:lang w:val="es-ES_tradnl" w:eastAsia="es-ES_tradnl"/>
        </w:rPr>
      </w:pPr>
    </w:p>
    <w:tbl>
      <w:tblPr>
        <w:tblW w:w="5987" w:type="dxa"/>
        <w:jc w:val="center"/>
        <w:tblInd w:w="65" w:type="dxa"/>
        <w:tblCellMar>
          <w:left w:w="70" w:type="dxa"/>
          <w:right w:w="70" w:type="dxa"/>
        </w:tblCellMar>
        <w:tblLook w:val="04A0"/>
      </w:tblPr>
      <w:tblGrid>
        <w:gridCol w:w="3107"/>
        <w:gridCol w:w="2880"/>
      </w:tblGrid>
      <w:tr w:rsidR="004862F5" w:rsidRPr="007F7DF5" w:rsidTr="00205A13">
        <w:trPr>
          <w:trHeight w:val="300"/>
          <w:jc w:val="center"/>
        </w:trPr>
        <w:tc>
          <w:tcPr>
            <w:tcW w:w="3107" w:type="dxa"/>
            <w:tcBorders>
              <w:top w:val="single" w:sz="4" w:space="0" w:color="auto"/>
              <w:left w:val="single" w:sz="4" w:space="0" w:color="auto"/>
              <w:bottom w:val="single" w:sz="4" w:space="0" w:color="auto"/>
              <w:right w:val="single" w:sz="4" w:space="0" w:color="auto"/>
            </w:tcBorders>
            <w:shd w:val="clear" w:color="000000" w:fill="F2F2F2"/>
            <w:hideMark/>
          </w:tcPr>
          <w:p w:rsidR="004862F5" w:rsidRPr="007F7DF5" w:rsidRDefault="004862F5" w:rsidP="004862F5">
            <w:pPr>
              <w:widowControl/>
              <w:autoSpaceDE/>
              <w:autoSpaceDN/>
              <w:adjustRightInd/>
              <w:jc w:val="both"/>
              <w:rPr>
                <w:rFonts w:asciiTheme="majorHAnsi" w:hAnsiTheme="majorHAnsi" w:cs="Times New Roman"/>
                <w:sz w:val="18"/>
                <w:szCs w:val="18"/>
              </w:rPr>
            </w:pPr>
            <w:r w:rsidRPr="007F7DF5">
              <w:rPr>
                <w:rFonts w:asciiTheme="majorHAnsi" w:hAnsiTheme="majorHAnsi" w:cs="Times New Roman"/>
                <w:sz w:val="18"/>
                <w:szCs w:val="18"/>
              </w:rPr>
              <w:t> </w:t>
            </w:r>
          </w:p>
        </w:tc>
        <w:tc>
          <w:tcPr>
            <w:tcW w:w="2880" w:type="dxa"/>
            <w:tcBorders>
              <w:top w:val="single" w:sz="4" w:space="0" w:color="auto"/>
              <w:left w:val="nil"/>
              <w:bottom w:val="single" w:sz="4" w:space="0" w:color="auto"/>
              <w:right w:val="single" w:sz="4" w:space="0" w:color="auto"/>
            </w:tcBorders>
            <w:shd w:val="clear" w:color="000000" w:fill="F2F2F2"/>
            <w:vAlign w:val="center"/>
            <w:hideMark/>
          </w:tcPr>
          <w:p w:rsidR="004862F5" w:rsidRPr="007F7DF5" w:rsidRDefault="004862F5" w:rsidP="004862F5">
            <w:pPr>
              <w:widowControl/>
              <w:autoSpaceDE/>
              <w:autoSpaceDN/>
              <w:adjustRightInd/>
              <w:jc w:val="center"/>
              <w:rPr>
                <w:rFonts w:asciiTheme="majorHAnsi" w:hAnsiTheme="majorHAnsi" w:cs="Times New Roman"/>
                <w:b/>
                <w:bCs/>
                <w:sz w:val="18"/>
                <w:szCs w:val="18"/>
              </w:rPr>
            </w:pPr>
            <w:r w:rsidRPr="007F7DF5">
              <w:rPr>
                <w:rFonts w:asciiTheme="majorHAnsi" w:hAnsiTheme="majorHAnsi" w:cs="Times New Roman"/>
                <w:b/>
                <w:bCs/>
                <w:sz w:val="18"/>
                <w:szCs w:val="18"/>
              </w:rPr>
              <w:t>Años de vida útil estimada</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Construcciones</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F73520"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100</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Maquinaria</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10</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Otras instalaciones</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10</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Mobiliario</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10</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Equipos para proceso de información</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4</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Elementos de transporte</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10</w:t>
            </w:r>
          </w:p>
        </w:tc>
      </w:tr>
      <w:tr w:rsidR="004862F5" w:rsidRPr="007F7DF5" w:rsidTr="007F7DF5">
        <w:trPr>
          <w:trHeight w:hRule="exact" w:val="300"/>
          <w:jc w:val="center"/>
        </w:trPr>
        <w:tc>
          <w:tcPr>
            <w:tcW w:w="3107" w:type="dxa"/>
            <w:tcBorders>
              <w:top w:val="nil"/>
              <w:left w:val="single" w:sz="4" w:space="0" w:color="auto"/>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rPr>
                <w:rFonts w:asciiTheme="majorHAnsi" w:hAnsiTheme="majorHAnsi" w:cs="Times New Roman"/>
                <w:sz w:val="18"/>
                <w:szCs w:val="18"/>
              </w:rPr>
            </w:pPr>
            <w:r w:rsidRPr="007F7DF5">
              <w:rPr>
                <w:rFonts w:asciiTheme="majorHAnsi" w:hAnsiTheme="majorHAnsi" w:cs="Times New Roman"/>
                <w:sz w:val="18"/>
                <w:szCs w:val="18"/>
                <w:lang w:val="es-ES_tradnl"/>
              </w:rPr>
              <w:t>Otro inmovilizado material</w:t>
            </w:r>
          </w:p>
        </w:tc>
        <w:tc>
          <w:tcPr>
            <w:tcW w:w="2880" w:type="dxa"/>
            <w:tcBorders>
              <w:top w:val="nil"/>
              <w:left w:val="nil"/>
              <w:bottom w:val="single" w:sz="4" w:space="0" w:color="auto"/>
              <w:right w:val="single" w:sz="4" w:space="0" w:color="auto"/>
            </w:tcBorders>
            <w:shd w:val="clear" w:color="000000" w:fill="FFFFFF"/>
            <w:vAlign w:val="center"/>
            <w:hideMark/>
          </w:tcPr>
          <w:p w:rsidR="004862F5" w:rsidRPr="007F7DF5" w:rsidRDefault="004862F5" w:rsidP="004862F5">
            <w:pPr>
              <w:widowControl/>
              <w:autoSpaceDE/>
              <w:autoSpaceDN/>
              <w:adjustRightInd/>
              <w:jc w:val="center"/>
              <w:rPr>
                <w:rFonts w:asciiTheme="majorHAnsi" w:hAnsiTheme="majorHAnsi" w:cs="Times New Roman"/>
                <w:sz w:val="18"/>
                <w:szCs w:val="18"/>
              </w:rPr>
            </w:pPr>
            <w:r w:rsidRPr="007F7DF5">
              <w:rPr>
                <w:rFonts w:asciiTheme="majorHAnsi" w:hAnsiTheme="majorHAnsi" w:cs="Times New Roman"/>
                <w:sz w:val="18"/>
                <w:szCs w:val="18"/>
                <w:lang w:val="es-ES_tradnl"/>
              </w:rPr>
              <w:t>10</w:t>
            </w:r>
          </w:p>
        </w:tc>
      </w:tr>
    </w:tbl>
    <w:p w:rsidR="004862F5" w:rsidRPr="001F6884" w:rsidRDefault="004862F5" w:rsidP="002523DB">
      <w:pPr>
        <w:shd w:val="clear" w:color="auto" w:fill="FFFFFF"/>
        <w:ind w:left="720"/>
        <w:jc w:val="both"/>
        <w:rPr>
          <w:rFonts w:ascii="Times New Roman" w:hAnsi="Times New Roman" w:cs="Times New Roman"/>
          <w:sz w:val="22"/>
          <w:szCs w:val="22"/>
          <w:lang w:val="es-ES_tradnl" w:eastAsia="es-ES_tradnl"/>
        </w:rPr>
      </w:pPr>
    </w:p>
    <w:p w:rsidR="004862F5" w:rsidRPr="001F6884" w:rsidRDefault="004862F5" w:rsidP="002523DB">
      <w:pPr>
        <w:shd w:val="clear" w:color="auto" w:fill="FFFFFF"/>
        <w:ind w:left="720" w:right="28"/>
        <w:jc w:val="both"/>
        <w:rPr>
          <w:rFonts w:ascii="Times New Roman" w:hAnsi="Times New Roman" w:cs="Times New Roman"/>
          <w:spacing w:val="-3"/>
          <w:sz w:val="22"/>
          <w:szCs w:val="22"/>
          <w:lang w:val="es-ES_tradnl" w:eastAsia="es-ES_tradnl"/>
        </w:rPr>
      </w:pPr>
    </w:p>
    <w:p w:rsidR="006C0067" w:rsidRPr="001F6884" w:rsidRDefault="006C0067" w:rsidP="002523DB">
      <w:pPr>
        <w:shd w:val="clear" w:color="auto" w:fill="FFFFFF"/>
        <w:ind w:left="720" w:right="28"/>
        <w:jc w:val="both"/>
        <w:rPr>
          <w:rFonts w:ascii="Times New Roman" w:hAnsi="Times New Roman" w:cs="Times New Roman"/>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Los valores residuales y las vidas útiles de los distintos elementos se revisan, ajustándolos, </w:t>
      </w:r>
      <w:r w:rsidRPr="001F6884">
        <w:rPr>
          <w:rFonts w:ascii="Times New Roman" w:hAnsi="Times New Roman" w:cs="Times New Roman"/>
          <w:sz w:val="22"/>
          <w:szCs w:val="22"/>
          <w:lang w:val="es-ES_tradnl" w:eastAsia="es-ES_tradnl"/>
        </w:rPr>
        <w:t xml:space="preserve">en su caso, en la fecha de cada balance. </w:t>
      </w:r>
    </w:p>
    <w:p w:rsidR="001A6B48" w:rsidRPr="001F6884" w:rsidRDefault="001A6B48" w:rsidP="002523DB">
      <w:pPr>
        <w:shd w:val="clear" w:color="auto" w:fill="FFFFFF"/>
        <w:ind w:left="720" w:right="28"/>
        <w:jc w:val="both"/>
        <w:rPr>
          <w:rFonts w:ascii="Times New Roman" w:hAnsi="Times New Roman" w:cs="Times New Roman"/>
          <w:sz w:val="22"/>
          <w:szCs w:val="22"/>
          <w:lang w:val="es-ES_tradnl" w:eastAsia="es-ES_tradnl"/>
        </w:rPr>
      </w:pPr>
    </w:p>
    <w:p w:rsidR="0060635D" w:rsidRPr="001F6884" w:rsidRDefault="006C0067" w:rsidP="002523DB">
      <w:pPr>
        <w:shd w:val="clear" w:color="auto" w:fill="FFFFFF"/>
        <w:ind w:left="720" w:right="28"/>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 xml:space="preserve">En la fecha de cierre de cada ejercicio la Sociedad evalúa la existencia de indicios de </w:t>
      </w:r>
      <w:r w:rsidRPr="001F6884">
        <w:rPr>
          <w:rFonts w:ascii="Times New Roman" w:hAnsi="Times New Roman" w:cs="Times New Roman"/>
          <w:spacing w:val="-3"/>
          <w:sz w:val="22"/>
          <w:szCs w:val="22"/>
          <w:lang w:val="es-ES_tradnl" w:eastAsia="es-ES_tradnl"/>
        </w:rPr>
        <w:t xml:space="preserve">deterioro de cada elemento del inmovilizado material. De existir estos indicios, se compara el valor </w:t>
      </w:r>
      <w:r w:rsidRPr="001F6884">
        <w:rPr>
          <w:rFonts w:ascii="Times New Roman" w:hAnsi="Times New Roman" w:cs="Times New Roman"/>
          <w:spacing w:val="-1"/>
          <w:sz w:val="22"/>
          <w:szCs w:val="22"/>
          <w:lang w:val="es-ES_tradnl" w:eastAsia="es-ES_tradnl"/>
        </w:rPr>
        <w:t xml:space="preserve">en libros de cada uno de los elementos del inmovilizado con su valor recuperable, siendo este el </w:t>
      </w:r>
      <w:r w:rsidRPr="001F6884">
        <w:rPr>
          <w:rFonts w:ascii="Times New Roman" w:hAnsi="Times New Roman" w:cs="Times New Roman"/>
          <w:sz w:val="22"/>
          <w:szCs w:val="22"/>
          <w:lang w:val="es-ES_tradnl" w:eastAsia="es-ES_tradnl"/>
        </w:rPr>
        <w:t>mayor entre su valor razonable menos el coste de venta y el valor en uso.</w:t>
      </w:r>
    </w:p>
    <w:p w:rsidR="006C0067" w:rsidRPr="001F6884" w:rsidRDefault="006C0067" w:rsidP="00E60B2C">
      <w:pPr>
        <w:shd w:val="clear" w:color="auto" w:fill="FFFFFF"/>
        <w:spacing w:before="234"/>
        <w:ind w:left="720" w:right="32"/>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En el supuesto de que el valor recuperable sea inferior al valor en libro, se reduce su valor en libros hasta alcanzar el valor recuperable, registrándose una pérdida por deterioro de valor.</w:t>
      </w:r>
    </w:p>
    <w:p w:rsidR="006C0067" w:rsidRPr="001F6884" w:rsidRDefault="006C0067" w:rsidP="0060635D">
      <w:pPr>
        <w:shd w:val="clear" w:color="auto" w:fill="FFFFFF"/>
        <w:spacing w:before="223"/>
        <w:ind w:left="720" w:right="29"/>
        <w:jc w:val="both"/>
        <w:rPr>
          <w:rFonts w:ascii="Times New Roman" w:hAnsi="Times New Roman" w:cs="Times New Roman"/>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En el supuesto de que se revierta la pérdida por deterioro, el establecimiento de los valores </w:t>
      </w:r>
      <w:r w:rsidRPr="001F6884">
        <w:rPr>
          <w:rFonts w:ascii="Times New Roman" w:hAnsi="Times New Roman" w:cs="Times New Roman"/>
          <w:spacing w:val="-1"/>
          <w:sz w:val="22"/>
          <w:szCs w:val="22"/>
          <w:lang w:val="es-ES_tradnl" w:eastAsia="es-ES_tradnl"/>
        </w:rPr>
        <w:t xml:space="preserve">no superará el valor en libros que habría tenido los elementos del inmovilizado de no haberse </w:t>
      </w:r>
      <w:r w:rsidRPr="001F6884">
        <w:rPr>
          <w:rFonts w:ascii="Times New Roman" w:hAnsi="Times New Roman" w:cs="Times New Roman"/>
          <w:sz w:val="22"/>
          <w:szCs w:val="22"/>
          <w:lang w:val="es-ES_tradnl" w:eastAsia="es-ES_tradnl"/>
        </w:rPr>
        <w:t>reconocido la pérdida por deterioro.</w:t>
      </w:r>
    </w:p>
    <w:p w:rsidR="009344BE" w:rsidRPr="009344BE" w:rsidRDefault="009344BE" w:rsidP="00E60B2C">
      <w:pPr>
        <w:shd w:val="clear" w:color="auto" w:fill="FFFFFF"/>
        <w:spacing w:before="223"/>
        <w:ind w:left="720" w:right="29"/>
        <w:jc w:val="both"/>
        <w:rPr>
          <w:rFonts w:ascii="Times New Roman" w:hAnsi="Times New Roman" w:cs="Times New Roman"/>
          <w:b/>
          <w:spacing w:val="-3"/>
          <w:sz w:val="22"/>
          <w:szCs w:val="22"/>
          <w:u w:val="single"/>
          <w:lang w:val="es-ES_tradnl" w:eastAsia="es-ES_tradnl"/>
        </w:rPr>
      </w:pPr>
      <w:r w:rsidRPr="009344BE">
        <w:rPr>
          <w:rFonts w:ascii="Times New Roman" w:hAnsi="Times New Roman" w:cs="Times New Roman"/>
          <w:b/>
          <w:spacing w:val="-3"/>
          <w:sz w:val="22"/>
          <w:szCs w:val="22"/>
          <w:u w:val="single"/>
          <w:lang w:val="es-ES_tradnl" w:eastAsia="es-ES_tradnl"/>
        </w:rPr>
        <w:t>Cesión de bienes de dominio público</w:t>
      </w:r>
    </w:p>
    <w:p w:rsidR="006C0067" w:rsidRDefault="006C0067"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w:t>
      </w:r>
      <w:r w:rsidR="009344BE">
        <w:rPr>
          <w:rFonts w:ascii="Times New Roman" w:hAnsi="Times New Roman" w:cs="Times New Roman"/>
          <w:spacing w:val="-3"/>
          <w:sz w:val="22"/>
          <w:szCs w:val="22"/>
          <w:lang w:val="es-ES_tradnl" w:eastAsia="es-ES_tradnl"/>
        </w:rPr>
        <w:t xml:space="preserve">onaciones y legados de capital”, </w:t>
      </w:r>
      <w:r w:rsidR="009344BE" w:rsidRPr="009344BE">
        <w:rPr>
          <w:rFonts w:ascii="Times New Roman" w:hAnsi="Times New Roman" w:cs="Times New Roman"/>
          <w:spacing w:val="-3"/>
          <w:sz w:val="22"/>
          <w:szCs w:val="22"/>
          <w:lang w:val="es-ES_tradnl" w:eastAsia="es-ES_tradnl"/>
        </w:rPr>
        <w:t>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r w:rsidR="0062767F">
        <w:rPr>
          <w:rFonts w:ascii="Times New Roman" w:hAnsi="Times New Roman" w:cs="Times New Roman"/>
          <w:spacing w:val="-3"/>
          <w:sz w:val="22"/>
          <w:szCs w:val="22"/>
          <w:lang w:val="es-ES_tradnl" w:eastAsia="es-ES_tradnl"/>
        </w:rPr>
        <w:t>.</w:t>
      </w:r>
    </w:p>
    <w:p w:rsidR="0062767F" w:rsidRPr="001F6884" w:rsidRDefault="0062767F"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Pr>
          <w:rFonts w:ascii="Times New Roman" w:hAnsi="Times New Roman" w:cs="Times New Roman"/>
          <w:spacing w:val="-3"/>
          <w:sz w:val="22"/>
          <w:szCs w:val="22"/>
          <w:lang w:val="es-ES_tradnl" w:eastAsia="es-ES_tradnl"/>
        </w:rPr>
        <w:t>Dado que</w:t>
      </w:r>
      <w:r w:rsidRPr="0062767F">
        <w:rPr>
          <w:rFonts w:ascii="Times New Roman" w:hAnsi="Times New Roman" w:cs="Times New Roman"/>
          <w:spacing w:val="-3"/>
          <w:sz w:val="22"/>
          <w:szCs w:val="22"/>
          <w:lang w:val="es-ES_tradnl" w:eastAsia="es-ES_tradnl"/>
        </w:rPr>
        <w:t xml:space="preserve"> el plazo acordado por la cesión se extiende a la práctica totalidad de la vida económica de los bienes cedidos, </w:t>
      </w:r>
      <w:r>
        <w:rPr>
          <w:rFonts w:ascii="Times New Roman" w:hAnsi="Times New Roman" w:cs="Times New Roman"/>
          <w:spacing w:val="-3"/>
          <w:sz w:val="22"/>
          <w:szCs w:val="22"/>
          <w:lang w:val="es-ES_tradnl" w:eastAsia="es-ES_tradnl"/>
        </w:rPr>
        <w:t xml:space="preserve">se ha considerado </w:t>
      </w:r>
      <w:r w:rsidRPr="0062767F">
        <w:rPr>
          <w:rFonts w:ascii="Times New Roman" w:hAnsi="Times New Roman" w:cs="Times New Roman"/>
          <w:spacing w:val="-3"/>
          <w:sz w:val="22"/>
          <w:szCs w:val="22"/>
          <w:lang w:val="es-ES_tradnl" w:eastAsia="es-ES_tradnl"/>
        </w:rPr>
        <w:t>esta circunstancia para calificar el derecho de uso de acuerdo con la naturaleza del bien que se recibe</w:t>
      </w:r>
      <w:r w:rsidR="00B459B2">
        <w:rPr>
          <w:rFonts w:ascii="Times New Roman" w:hAnsi="Times New Roman" w:cs="Times New Roman"/>
          <w:spacing w:val="-3"/>
          <w:sz w:val="22"/>
          <w:szCs w:val="22"/>
          <w:lang w:val="es-ES_tradnl" w:eastAsia="es-ES_tradnl"/>
        </w:rPr>
        <w:t>,</w:t>
      </w:r>
      <w:r w:rsidRPr="0062767F">
        <w:rPr>
          <w:rFonts w:ascii="Times New Roman" w:hAnsi="Times New Roman" w:cs="Times New Roman"/>
          <w:spacing w:val="-3"/>
          <w:sz w:val="22"/>
          <w:szCs w:val="22"/>
          <w:lang w:val="es-ES_tradnl" w:eastAsia="es-ES_tradnl"/>
        </w:rPr>
        <w:t xml:space="preserve"> en su caso, un inmovilizado material.</w:t>
      </w:r>
    </w:p>
    <w:p w:rsidR="006C0067" w:rsidRPr="001F6884" w:rsidRDefault="006C0067"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Los derechos sobre dichos activos cedidos en uso inicialmente a la sociedad, lo fueron por el valor de aseguramiento en el momento de cesión de dichos activos. </w:t>
      </w:r>
    </w:p>
    <w:p w:rsidR="006C0067" w:rsidRDefault="006C0067" w:rsidP="000E24D4">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La amortización de estos derechos se realiza atendiendo a la naturaleza de los activos cedidos, aplicando linealmente unos coeficientes anuales en función de la vida útil esperada. </w:t>
      </w:r>
    </w:p>
    <w:p w:rsidR="00205A13" w:rsidRDefault="00205A13" w:rsidP="000E24D4">
      <w:pPr>
        <w:shd w:val="clear" w:color="auto" w:fill="FFFFFF"/>
        <w:spacing w:before="432"/>
        <w:ind w:firstLine="709"/>
        <w:jc w:val="both"/>
        <w:rPr>
          <w:rFonts w:ascii="Times New Roman" w:hAnsi="Times New Roman" w:cs="Times New Roman"/>
          <w:b/>
          <w:bCs/>
          <w:spacing w:val="-3"/>
          <w:sz w:val="22"/>
          <w:szCs w:val="22"/>
          <w:lang w:val="es-ES_tradnl" w:eastAsia="es-ES_tradnl"/>
        </w:rPr>
      </w:pPr>
    </w:p>
    <w:p w:rsidR="00205A13" w:rsidRDefault="00205A13" w:rsidP="000E24D4">
      <w:pPr>
        <w:shd w:val="clear" w:color="auto" w:fill="FFFFFF"/>
        <w:spacing w:before="432"/>
        <w:ind w:firstLine="709"/>
        <w:jc w:val="both"/>
        <w:rPr>
          <w:rFonts w:ascii="Times New Roman" w:hAnsi="Times New Roman" w:cs="Times New Roman"/>
          <w:b/>
          <w:bCs/>
          <w:spacing w:val="-3"/>
          <w:sz w:val="22"/>
          <w:szCs w:val="22"/>
          <w:lang w:val="es-ES_tradnl" w:eastAsia="es-ES_tradnl"/>
        </w:rPr>
      </w:pPr>
    </w:p>
    <w:p w:rsidR="006C0067" w:rsidRPr="001F6884" w:rsidRDefault="005461DE" w:rsidP="000E24D4">
      <w:pPr>
        <w:shd w:val="clear" w:color="auto" w:fill="FFFFFF"/>
        <w:spacing w:before="432"/>
        <w:ind w:firstLine="709"/>
        <w:jc w:val="both"/>
        <w:rPr>
          <w:rFonts w:ascii="Times New Roman" w:hAnsi="Times New Roman" w:cs="Times New Roman"/>
          <w:sz w:val="22"/>
          <w:szCs w:val="22"/>
        </w:rPr>
      </w:pPr>
      <w:r w:rsidRPr="001F6884">
        <w:rPr>
          <w:rFonts w:ascii="Times New Roman" w:hAnsi="Times New Roman" w:cs="Times New Roman"/>
          <w:b/>
          <w:bCs/>
          <w:spacing w:val="-3"/>
          <w:sz w:val="22"/>
          <w:szCs w:val="22"/>
          <w:lang w:val="es-ES_tradnl" w:eastAsia="es-ES_tradnl"/>
        </w:rPr>
        <w:t>4</w:t>
      </w:r>
      <w:r w:rsidR="006C0067" w:rsidRPr="001F6884">
        <w:rPr>
          <w:rFonts w:ascii="Times New Roman" w:hAnsi="Times New Roman" w:cs="Times New Roman"/>
          <w:b/>
          <w:bCs/>
          <w:spacing w:val="-3"/>
          <w:sz w:val="22"/>
          <w:szCs w:val="22"/>
          <w:lang w:val="es-ES_tradnl" w:eastAsia="es-ES_tradnl"/>
        </w:rPr>
        <w:t>.3. Activos financieros:</w:t>
      </w:r>
    </w:p>
    <w:p w:rsidR="0060635D" w:rsidRPr="001F6884" w:rsidRDefault="006C0067" w:rsidP="000E24D4">
      <w:pPr>
        <w:shd w:val="clear" w:color="auto" w:fill="FFFFFF"/>
        <w:spacing w:before="328"/>
        <w:ind w:firstLine="709"/>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Los activos financieros que posee la Sociedad se clasifica en la siguiente categoría:</w:t>
      </w:r>
    </w:p>
    <w:p w:rsidR="006C0067" w:rsidRPr="001F6884" w:rsidRDefault="006C0067" w:rsidP="00E60B2C">
      <w:pPr>
        <w:shd w:val="clear" w:color="auto" w:fill="FFFFFF"/>
        <w:spacing w:before="209"/>
        <w:ind w:firstLine="708"/>
        <w:jc w:val="both"/>
        <w:rPr>
          <w:rFonts w:ascii="Times New Roman" w:hAnsi="Times New Roman" w:cs="Times New Roman"/>
          <w:sz w:val="22"/>
          <w:szCs w:val="22"/>
        </w:rPr>
      </w:pPr>
      <w:r w:rsidRPr="001F6884">
        <w:rPr>
          <w:rFonts w:ascii="Times New Roman" w:hAnsi="Times New Roman" w:cs="Times New Roman"/>
          <w:b/>
          <w:bCs/>
          <w:spacing w:val="-2"/>
          <w:sz w:val="22"/>
          <w:szCs w:val="22"/>
          <w:lang w:val="es-ES_tradnl" w:eastAsia="es-ES_tradnl"/>
        </w:rPr>
        <w:t>Activos financieros a coste amortizado</w:t>
      </w:r>
    </w:p>
    <w:p w:rsidR="006C0067" w:rsidRPr="001F6884" w:rsidRDefault="006C0067" w:rsidP="00E60B2C">
      <w:pPr>
        <w:shd w:val="clear" w:color="auto" w:fill="FFFFFF"/>
        <w:spacing w:before="212"/>
        <w:ind w:left="720" w:right="29"/>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En esta categoría se han incluido los activos que se han originado en la venta de bienes y </w:t>
      </w:r>
      <w:r w:rsidRPr="001F6884">
        <w:rPr>
          <w:rFonts w:ascii="Times New Roman" w:hAnsi="Times New Roman" w:cs="Times New Roman"/>
          <w:spacing w:val="-3"/>
          <w:sz w:val="22"/>
          <w:szCs w:val="22"/>
          <w:lang w:val="es-ES_tradnl" w:eastAsia="es-ES_tradnl"/>
        </w:rPr>
        <w:t xml:space="preserve">prestación de servicios por operaciones de tráfico de la empresa. También se han incluido aquellos </w:t>
      </w:r>
      <w:r w:rsidRPr="001F6884">
        <w:rPr>
          <w:rFonts w:ascii="Times New Roman" w:hAnsi="Times New Roman" w:cs="Times New Roman"/>
          <w:sz w:val="22"/>
          <w:szCs w:val="22"/>
          <w:lang w:val="es-ES_tradnl" w:eastAsia="es-ES_tradnl"/>
        </w:rPr>
        <w:t xml:space="preserve">activos financieros que no siendo instrumentos de patrimonio ni derivados, no tienen origen </w:t>
      </w:r>
      <w:r w:rsidRPr="001F6884">
        <w:rPr>
          <w:rFonts w:ascii="Times New Roman" w:hAnsi="Times New Roman" w:cs="Times New Roman"/>
          <w:spacing w:val="-2"/>
          <w:sz w:val="22"/>
          <w:szCs w:val="22"/>
          <w:lang w:val="es-ES_tradnl" w:eastAsia="es-ES_tradnl"/>
        </w:rPr>
        <w:t xml:space="preserve">comercial y cuyos cobros son de cuantía determinada o determinable, es decir, comprende a los </w:t>
      </w:r>
      <w:r w:rsidRPr="001F6884">
        <w:rPr>
          <w:rFonts w:ascii="Times New Roman" w:hAnsi="Times New Roman" w:cs="Times New Roman"/>
          <w:spacing w:val="-3"/>
          <w:sz w:val="22"/>
          <w:szCs w:val="22"/>
          <w:lang w:val="es-ES_tradnl" w:eastAsia="es-ES_tradnl"/>
        </w:rPr>
        <w:t xml:space="preserve">créditos distintos del tráfico comercial, los valores representativos de deuda adquiridos, cotizados o </w:t>
      </w:r>
      <w:r w:rsidRPr="001F6884">
        <w:rPr>
          <w:rFonts w:ascii="Times New Roman" w:hAnsi="Times New Roman" w:cs="Times New Roman"/>
          <w:spacing w:val="-2"/>
          <w:sz w:val="22"/>
          <w:szCs w:val="22"/>
          <w:lang w:val="es-ES_tradnl" w:eastAsia="es-ES_tradnl"/>
        </w:rPr>
        <w:t xml:space="preserve">no, los depósitos en entidades de crédito, anticipos y créditos al personal, las fianzas y depósitos </w:t>
      </w:r>
      <w:r w:rsidRPr="001F6884">
        <w:rPr>
          <w:rFonts w:ascii="Times New Roman" w:hAnsi="Times New Roman" w:cs="Times New Roman"/>
          <w:sz w:val="22"/>
          <w:szCs w:val="22"/>
          <w:lang w:val="es-ES_tradnl" w:eastAsia="es-ES_tradnl"/>
        </w:rPr>
        <w:t>constituidos.</w:t>
      </w:r>
    </w:p>
    <w:p w:rsidR="006C0067" w:rsidRPr="001F6884" w:rsidRDefault="006C0067" w:rsidP="00E60B2C">
      <w:pPr>
        <w:shd w:val="clear" w:color="auto" w:fill="FFFFFF"/>
        <w:spacing w:before="240"/>
        <w:ind w:firstLine="708"/>
        <w:jc w:val="both"/>
        <w:rPr>
          <w:rFonts w:ascii="Times New Roman" w:hAnsi="Times New Roman" w:cs="Times New Roman"/>
          <w:spacing w:val="-3"/>
          <w:sz w:val="22"/>
          <w:szCs w:val="22"/>
          <w:u w:val="single"/>
          <w:lang w:val="es-ES_tradnl" w:eastAsia="es-ES_tradnl"/>
        </w:rPr>
      </w:pPr>
      <w:r w:rsidRPr="001F6884">
        <w:rPr>
          <w:rFonts w:ascii="Times New Roman" w:hAnsi="Times New Roman" w:cs="Times New Roman"/>
          <w:spacing w:val="-3"/>
          <w:sz w:val="22"/>
          <w:szCs w:val="22"/>
          <w:u w:val="single"/>
          <w:lang w:val="es-ES_tradnl" w:eastAsia="es-ES_tradnl"/>
        </w:rPr>
        <w:t xml:space="preserve">Valoración inicial: </w:t>
      </w:r>
    </w:p>
    <w:p w:rsidR="006C0067" w:rsidRPr="001F6884" w:rsidRDefault="006C0067" w:rsidP="006C0067">
      <w:pPr>
        <w:shd w:val="clear" w:color="auto" w:fill="FFFFFF"/>
        <w:ind w:left="720" w:firstLine="720"/>
        <w:jc w:val="both"/>
        <w:rPr>
          <w:rFonts w:ascii="Times New Roman" w:hAnsi="Times New Roman" w:cs="Times New Roman"/>
          <w:sz w:val="22"/>
          <w:szCs w:val="22"/>
        </w:rPr>
      </w:pPr>
    </w:p>
    <w:p w:rsidR="006C0067" w:rsidRPr="001F6884" w:rsidRDefault="006C0067" w:rsidP="00E60B2C">
      <w:pPr>
        <w:shd w:val="clear" w:color="auto" w:fill="FFFFFF"/>
        <w:ind w:left="720" w:right="14"/>
        <w:jc w:val="both"/>
        <w:rPr>
          <w:rFonts w:ascii="Times New Roman" w:hAnsi="Times New Roman" w:cs="Times New Roman"/>
          <w:sz w:val="22"/>
          <w:szCs w:val="22"/>
        </w:rPr>
      </w:pPr>
      <w:r w:rsidRPr="001F6884">
        <w:rPr>
          <w:rFonts w:ascii="Times New Roman" w:hAnsi="Times New Roman" w:cs="Times New Roman"/>
          <w:spacing w:val="-1"/>
          <w:sz w:val="22"/>
          <w:szCs w:val="22"/>
          <w:lang w:val="es-ES_tradnl" w:eastAsia="es-ES_tradnl"/>
        </w:rPr>
        <w:t xml:space="preserve">Se han valorado inicialmente por su coste que equivaldría al valor razonable de la </w:t>
      </w:r>
      <w:r w:rsidRPr="001F6884">
        <w:rPr>
          <w:rFonts w:ascii="Times New Roman" w:hAnsi="Times New Roman" w:cs="Times New Roman"/>
          <w:spacing w:val="-3"/>
          <w:sz w:val="22"/>
          <w:szCs w:val="22"/>
          <w:lang w:val="es-ES_tradnl" w:eastAsia="es-ES_tradnl"/>
        </w:rPr>
        <w:t>contraprestación entregada más los costes de transacción que les son directamente atribuibles.</w:t>
      </w:r>
    </w:p>
    <w:p w:rsidR="006C0067" w:rsidRPr="001F6884" w:rsidRDefault="006C0067" w:rsidP="00E60B2C">
      <w:pPr>
        <w:shd w:val="clear" w:color="auto" w:fill="FFFFFF"/>
        <w:spacing w:before="245"/>
        <w:ind w:left="720" w:right="14"/>
        <w:jc w:val="both"/>
        <w:rPr>
          <w:rFonts w:ascii="Times New Roman" w:hAnsi="Times New Roman" w:cs="Times New Roman"/>
          <w:sz w:val="22"/>
          <w:szCs w:val="22"/>
        </w:rPr>
      </w:pPr>
      <w:r w:rsidRPr="001F6884">
        <w:rPr>
          <w:rFonts w:ascii="Times New Roman" w:hAnsi="Times New Roman" w:cs="Times New Roman"/>
          <w:sz w:val="22"/>
          <w:szCs w:val="22"/>
          <w:lang w:val="es-ES_tradnl" w:eastAsia="es-ES_tradnl"/>
        </w:rPr>
        <w:t xml:space="preserve">No obstante, lo señalado en el párrafo anterior, los créditos por operaciones comerciales </w:t>
      </w:r>
      <w:r w:rsidRPr="001F6884">
        <w:rPr>
          <w:rFonts w:ascii="Times New Roman" w:hAnsi="Times New Roman" w:cs="Times New Roman"/>
          <w:spacing w:val="-2"/>
          <w:sz w:val="22"/>
          <w:szCs w:val="22"/>
          <w:lang w:val="es-ES_tradnl" w:eastAsia="es-ES_tradnl"/>
        </w:rPr>
        <w:t xml:space="preserve">con vencimiento no superior a un año y que no tengan un tipo de interés contractual, así como los </w:t>
      </w:r>
      <w:r w:rsidRPr="001F6884">
        <w:rPr>
          <w:rFonts w:ascii="Times New Roman" w:hAnsi="Times New Roman" w:cs="Times New Roman"/>
          <w:spacing w:val="-1"/>
          <w:sz w:val="22"/>
          <w:szCs w:val="22"/>
          <w:lang w:val="es-ES_tradnl" w:eastAsia="es-ES_tradnl"/>
        </w:rPr>
        <w:t xml:space="preserve">anticipos y créditos al personal, las fianzas, los dividendos a cobrar y los desembolsos exigidos </w:t>
      </w:r>
      <w:r w:rsidRPr="001F6884">
        <w:rPr>
          <w:rFonts w:ascii="Times New Roman" w:hAnsi="Times New Roman" w:cs="Times New Roman"/>
          <w:spacing w:val="-3"/>
          <w:sz w:val="22"/>
          <w:szCs w:val="22"/>
          <w:lang w:val="es-ES_tradnl" w:eastAsia="es-ES_tradnl"/>
        </w:rPr>
        <w:t>sobre instrumentos de patrimonio, cuyo importe se espera recibir en el corto plazo, se han valorado por su valor nominal cuando el efecto de no actualizar los flujos de efectivo no son significativo.</w:t>
      </w:r>
    </w:p>
    <w:p w:rsidR="006C0067" w:rsidRPr="001F6884" w:rsidRDefault="006C0067" w:rsidP="00E60B2C">
      <w:pPr>
        <w:shd w:val="clear" w:color="auto" w:fill="FFFFFF"/>
        <w:spacing w:before="360"/>
        <w:ind w:firstLine="708"/>
        <w:jc w:val="both"/>
        <w:rPr>
          <w:rFonts w:ascii="Times New Roman" w:hAnsi="Times New Roman" w:cs="Times New Roman"/>
          <w:spacing w:val="-3"/>
          <w:sz w:val="22"/>
          <w:szCs w:val="22"/>
          <w:u w:val="single"/>
          <w:lang w:val="es-ES_tradnl" w:eastAsia="es-ES_tradnl"/>
        </w:rPr>
      </w:pPr>
      <w:r w:rsidRPr="001F6884">
        <w:rPr>
          <w:rFonts w:ascii="Times New Roman" w:hAnsi="Times New Roman" w:cs="Times New Roman"/>
          <w:spacing w:val="-3"/>
          <w:sz w:val="22"/>
          <w:szCs w:val="22"/>
          <w:u w:val="single"/>
          <w:lang w:val="es-ES_tradnl" w:eastAsia="es-ES_tradnl"/>
        </w:rPr>
        <w:t xml:space="preserve">Valoración posterior:  </w:t>
      </w:r>
    </w:p>
    <w:p w:rsidR="006C0067" w:rsidRPr="001F6884" w:rsidRDefault="006C0067" w:rsidP="006C0067">
      <w:pPr>
        <w:shd w:val="clear" w:color="auto" w:fill="FFFFFF"/>
        <w:ind w:left="720" w:firstLine="720"/>
        <w:jc w:val="both"/>
        <w:rPr>
          <w:rFonts w:ascii="Times New Roman" w:hAnsi="Times New Roman" w:cs="Times New Roman"/>
          <w:spacing w:val="-3"/>
          <w:sz w:val="22"/>
          <w:szCs w:val="22"/>
          <w:lang w:val="es-ES_tradnl" w:eastAsia="es-ES_tradnl"/>
        </w:rPr>
      </w:pPr>
    </w:p>
    <w:p w:rsidR="006C0067" w:rsidRPr="001F6884" w:rsidRDefault="006C0067" w:rsidP="00E60B2C">
      <w:pPr>
        <w:shd w:val="clear" w:color="auto" w:fill="FFFFFF"/>
        <w:ind w:left="720" w:right="7"/>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Se han valorado por su coste amortizado. Los intereses devengados se contabilizan en la </w:t>
      </w:r>
      <w:r w:rsidRPr="001F6884">
        <w:rPr>
          <w:rFonts w:ascii="Times New Roman" w:hAnsi="Times New Roman" w:cs="Times New Roman"/>
          <w:spacing w:val="-3"/>
          <w:sz w:val="22"/>
          <w:szCs w:val="22"/>
          <w:lang w:val="es-ES_tradnl" w:eastAsia="es-ES_tradnl"/>
        </w:rPr>
        <w:t>cuenta de pérdidas y ganancias, aplicando el método del tipo de interés efectivo.</w:t>
      </w:r>
    </w:p>
    <w:p w:rsidR="000E24D4" w:rsidRPr="001F6884" w:rsidRDefault="006C0067" w:rsidP="00717FE8">
      <w:pPr>
        <w:shd w:val="clear" w:color="auto" w:fill="FFFFFF"/>
        <w:spacing w:before="241"/>
        <w:ind w:left="720" w:right="14"/>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No obstante lo anterior, los activos con vencimiento no superior a un año que, de acuerdo con lo dispuesto en el apartado anterior, se valoren inicialmente por su valor nominal, continúan </w:t>
      </w:r>
      <w:r w:rsidRPr="001F6884">
        <w:rPr>
          <w:rFonts w:ascii="Times New Roman" w:hAnsi="Times New Roman" w:cs="Times New Roman"/>
          <w:sz w:val="22"/>
          <w:szCs w:val="22"/>
          <w:lang w:val="es-ES_tradnl" w:eastAsia="es-ES_tradnl"/>
        </w:rPr>
        <w:t>valorándose por dicho importe, salvo que se hubieran deteriorado.</w:t>
      </w:r>
    </w:p>
    <w:p w:rsidR="006C0067" w:rsidRPr="001F6884" w:rsidRDefault="006C0067" w:rsidP="00E60B2C">
      <w:pPr>
        <w:shd w:val="clear" w:color="auto" w:fill="FFFFFF"/>
        <w:spacing w:before="240"/>
        <w:ind w:firstLine="708"/>
        <w:jc w:val="both"/>
        <w:rPr>
          <w:rFonts w:ascii="Times New Roman" w:hAnsi="Times New Roman" w:cs="Times New Roman"/>
          <w:spacing w:val="-3"/>
          <w:sz w:val="22"/>
          <w:szCs w:val="22"/>
          <w:u w:val="single"/>
          <w:lang w:val="es-ES_tradnl" w:eastAsia="es-ES_tradnl"/>
        </w:rPr>
      </w:pPr>
      <w:r w:rsidRPr="001F6884">
        <w:rPr>
          <w:rFonts w:ascii="Times New Roman" w:hAnsi="Times New Roman" w:cs="Times New Roman"/>
          <w:spacing w:val="-3"/>
          <w:sz w:val="22"/>
          <w:szCs w:val="22"/>
          <w:u w:val="single"/>
          <w:lang w:val="es-ES_tradnl" w:eastAsia="es-ES_tradnl"/>
        </w:rPr>
        <w:t>Correcciones valorativas por deterioro:</w:t>
      </w:r>
    </w:p>
    <w:p w:rsidR="006C0067" w:rsidRPr="001F6884" w:rsidRDefault="006C0067" w:rsidP="0060635D">
      <w:pPr>
        <w:shd w:val="clear" w:color="auto" w:fill="FFFFFF"/>
        <w:spacing w:before="240"/>
        <w:ind w:left="720"/>
        <w:jc w:val="both"/>
        <w:rPr>
          <w:rFonts w:ascii="Times New Roman" w:hAnsi="Times New Roman" w:cs="Times New Roman"/>
          <w:sz w:val="22"/>
          <w:szCs w:val="22"/>
        </w:rPr>
      </w:pPr>
      <w:r w:rsidRPr="001F6884">
        <w:rPr>
          <w:rFonts w:ascii="Times New Roman" w:hAnsi="Times New Roman" w:cs="Times New Roman"/>
          <w:spacing w:val="-1"/>
          <w:sz w:val="22"/>
          <w:szCs w:val="22"/>
          <w:lang w:val="es-ES_tradnl" w:eastAsia="es-ES_tradnl"/>
        </w:rPr>
        <w:t xml:space="preserve">Al cierre del ejercicio, se han efectuado las correcciones valorativas necesarias por la </w:t>
      </w:r>
      <w:r w:rsidRPr="001F6884">
        <w:rPr>
          <w:rFonts w:ascii="Times New Roman" w:hAnsi="Times New Roman" w:cs="Times New Roman"/>
          <w:spacing w:val="-2"/>
          <w:sz w:val="22"/>
          <w:szCs w:val="22"/>
          <w:lang w:val="es-ES_tradnl" w:eastAsia="es-ES_tradnl"/>
        </w:rPr>
        <w:t xml:space="preserve">existencia de evidencia objetiva de que el valor de una activo financiero o de un grupo de activos </w:t>
      </w:r>
      <w:r w:rsidRPr="001F6884">
        <w:rPr>
          <w:rFonts w:ascii="Times New Roman" w:hAnsi="Times New Roman" w:cs="Times New Roman"/>
          <w:sz w:val="22"/>
          <w:szCs w:val="22"/>
          <w:lang w:val="es-ES_tradnl" w:eastAsia="es-ES_tradnl"/>
        </w:rPr>
        <w:t xml:space="preserve">financieros con similares características de riesgo valorados colectivamente, se ha deteriorado </w:t>
      </w:r>
      <w:r w:rsidRPr="001F6884">
        <w:rPr>
          <w:rFonts w:ascii="Times New Roman" w:hAnsi="Times New Roman" w:cs="Times New Roman"/>
          <w:spacing w:val="-1"/>
          <w:sz w:val="22"/>
          <w:szCs w:val="22"/>
          <w:lang w:val="es-ES_tradnl" w:eastAsia="es-ES_tradnl"/>
        </w:rPr>
        <w:t xml:space="preserve">como resultado de uno o más eventos que hayan ocurrido después de su reconocimiento inicial y </w:t>
      </w:r>
      <w:r w:rsidRPr="001F6884">
        <w:rPr>
          <w:rFonts w:ascii="Times New Roman" w:hAnsi="Times New Roman" w:cs="Times New Roman"/>
          <w:spacing w:val="-3"/>
          <w:sz w:val="22"/>
          <w:szCs w:val="22"/>
          <w:lang w:val="es-ES_tradnl" w:eastAsia="es-ES_tradnl"/>
        </w:rPr>
        <w:t xml:space="preserve">que ocasionen una reducción o retraso en los flujos de efectivo estimados futuros, que pueden venir </w:t>
      </w:r>
      <w:r w:rsidRPr="001F6884">
        <w:rPr>
          <w:rFonts w:ascii="Times New Roman" w:hAnsi="Times New Roman" w:cs="Times New Roman"/>
          <w:sz w:val="22"/>
          <w:szCs w:val="22"/>
          <w:lang w:val="es-ES_tradnl" w:eastAsia="es-ES_tradnl"/>
        </w:rPr>
        <w:t>motivados por la insolvencia del deudor.</w:t>
      </w:r>
      <w:r w:rsidRPr="001F6884">
        <w:rPr>
          <w:rFonts w:ascii="Times New Roman" w:hAnsi="Times New Roman" w:cs="Times New Roman"/>
          <w:sz w:val="22"/>
          <w:szCs w:val="22"/>
        </w:rPr>
        <w:tab/>
      </w:r>
    </w:p>
    <w:p w:rsidR="006C0067" w:rsidRPr="001F6884" w:rsidRDefault="006C0067" w:rsidP="006C0067">
      <w:pPr>
        <w:shd w:val="clear" w:color="auto" w:fill="FFFFFF"/>
        <w:ind w:left="1274" w:firstLine="720"/>
        <w:jc w:val="both"/>
        <w:rPr>
          <w:rFonts w:ascii="Times New Roman" w:hAnsi="Times New Roman" w:cs="Times New Roman"/>
          <w:sz w:val="22"/>
          <w:szCs w:val="22"/>
        </w:rPr>
      </w:pPr>
    </w:p>
    <w:p w:rsidR="006C0067" w:rsidRPr="001F6884" w:rsidRDefault="006C0067" w:rsidP="00E60B2C">
      <w:pPr>
        <w:shd w:val="clear" w:color="auto" w:fill="FFFFFF"/>
        <w:ind w:left="720"/>
        <w:jc w:val="both"/>
        <w:rPr>
          <w:rFonts w:ascii="Times New Roman" w:hAnsi="Times New Roman" w:cs="Times New Roman"/>
          <w:sz w:val="22"/>
          <w:szCs w:val="22"/>
          <w:lang w:val="es-ES_tradnl" w:eastAsia="es-ES_tradnl"/>
        </w:rPr>
      </w:pPr>
      <w:r w:rsidRPr="001F6884">
        <w:rPr>
          <w:rFonts w:ascii="Times New Roman" w:hAnsi="Times New Roman" w:cs="Times New Roman"/>
          <w:spacing w:val="-1"/>
          <w:sz w:val="22"/>
          <w:szCs w:val="22"/>
          <w:lang w:val="es-ES_tradnl" w:eastAsia="es-ES_tradnl"/>
        </w:rPr>
        <w:t xml:space="preserve">La pérdida por deterioro del valor de estos activos financieros será la diferencia entre su valor en libros y el valor actual de los flujos de efectivo futuros que se estima van a generar, </w:t>
      </w:r>
      <w:r w:rsidRPr="001F6884">
        <w:rPr>
          <w:rFonts w:ascii="Times New Roman" w:hAnsi="Times New Roman" w:cs="Times New Roman"/>
          <w:spacing w:val="-2"/>
          <w:sz w:val="22"/>
          <w:szCs w:val="22"/>
          <w:lang w:val="es-ES_tradnl" w:eastAsia="es-ES_tradnl"/>
        </w:rPr>
        <w:t xml:space="preserve">descontados al tipo de interés efectivo calculado en el momento de su reconocimiento inicial. Para </w:t>
      </w:r>
      <w:r w:rsidRPr="001F6884">
        <w:rPr>
          <w:rFonts w:ascii="Times New Roman" w:hAnsi="Times New Roman" w:cs="Times New Roman"/>
          <w:sz w:val="22"/>
          <w:szCs w:val="22"/>
          <w:lang w:val="es-ES_tradnl" w:eastAsia="es-ES_tradnl"/>
        </w:rPr>
        <w:t xml:space="preserve">los activos financieros a tipo de interés variable, se empleará el tipo de interés efectivo que  corresponda a la fecha de cierre de las cuentas anuales de acuerdo con las condiciones </w:t>
      </w:r>
      <w:r w:rsidRPr="001F6884">
        <w:rPr>
          <w:rFonts w:ascii="Times New Roman" w:hAnsi="Times New Roman" w:cs="Times New Roman"/>
          <w:spacing w:val="-1"/>
          <w:sz w:val="22"/>
          <w:szCs w:val="22"/>
          <w:lang w:val="es-ES_tradnl" w:eastAsia="es-ES_tradnl"/>
        </w:rPr>
        <w:t xml:space="preserve">contractuales. En el cálculo de las pérdidas por deterioro de un grupo de activos financieros se </w:t>
      </w:r>
      <w:r w:rsidRPr="001F6884">
        <w:rPr>
          <w:rFonts w:ascii="Times New Roman" w:hAnsi="Times New Roman" w:cs="Times New Roman"/>
          <w:sz w:val="22"/>
          <w:szCs w:val="22"/>
          <w:lang w:val="es-ES_tradnl" w:eastAsia="es-ES_tradnl"/>
        </w:rPr>
        <w:t>podrán utilizar modelos basados en fórmulas o métodos estadísticos.</w:t>
      </w:r>
    </w:p>
    <w:p w:rsidR="006C0067" w:rsidRPr="001F6884" w:rsidRDefault="006C0067" w:rsidP="00E60B2C">
      <w:pPr>
        <w:shd w:val="clear" w:color="auto" w:fill="FFFFFF"/>
        <w:spacing w:before="227"/>
        <w:ind w:left="720" w:right="14"/>
        <w:jc w:val="both"/>
        <w:rPr>
          <w:rFonts w:ascii="Times New Roman" w:hAnsi="Times New Roman" w:cs="Times New Roman"/>
          <w:sz w:val="22"/>
          <w:szCs w:val="22"/>
          <w:lang w:val="es-ES_tradnl" w:eastAsia="es-ES_tradnl"/>
        </w:rPr>
      </w:pPr>
      <w:r w:rsidRPr="001F6884">
        <w:rPr>
          <w:rFonts w:ascii="Times New Roman" w:hAnsi="Times New Roman" w:cs="Times New Roman"/>
          <w:spacing w:val="-1"/>
          <w:sz w:val="22"/>
          <w:szCs w:val="22"/>
          <w:lang w:val="es-ES_tradnl" w:eastAsia="es-ES_tradnl"/>
        </w:rPr>
        <w:t xml:space="preserve">En su caso, como sustituto del valor actual de los flujos de efectivo futuros se utilizará el </w:t>
      </w:r>
      <w:r w:rsidRPr="001F6884">
        <w:rPr>
          <w:rFonts w:ascii="Times New Roman" w:hAnsi="Times New Roman" w:cs="Times New Roman"/>
          <w:sz w:val="22"/>
          <w:szCs w:val="22"/>
          <w:lang w:val="es-ES_tradnl" w:eastAsia="es-ES_tradnl"/>
        </w:rPr>
        <w:t>valor de cotización del activo, siempre que éste sea lo suficientemente fiable como para considerarlo representativo del valor que pudiera recuperar la empresa.</w:t>
      </w:r>
    </w:p>
    <w:p w:rsidR="009F6604" w:rsidRDefault="009F6604" w:rsidP="000E24D4">
      <w:pPr>
        <w:shd w:val="clear" w:color="auto" w:fill="FFFFFF"/>
        <w:ind w:left="720" w:right="22"/>
        <w:jc w:val="both"/>
        <w:rPr>
          <w:rFonts w:ascii="Times New Roman" w:hAnsi="Times New Roman" w:cs="Times New Roman"/>
          <w:sz w:val="22"/>
          <w:szCs w:val="22"/>
          <w:lang w:val="es-ES_tradnl" w:eastAsia="es-ES_tradnl"/>
        </w:rPr>
      </w:pPr>
    </w:p>
    <w:p w:rsidR="00205A13" w:rsidRDefault="00205A13" w:rsidP="000E24D4">
      <w:pPr>
        <w:shd w:val="clear" w:color="auto" w:fill="FFFFFF"/>
        <w:ind w:left="720" w:right="22"/>
        <w:jc w:val="both"/>
        <w:rPr>
          <w:rFonts w:ascii="Times New Roman" w:hAnsi="Times New Roman" w:cs="Times New Roman"/>
          <w:sz w:val="22"/>
          <w:szCs w:val="22"/>
          <w:lang w:val="es-ES_tradnl" w:eastAsia="es-ES_tradnl"/>
        </w:rPr>
      </w:pPr>
    </w:p>
    <w:p w:rsidR="00205A13" w:rsidRPr="001F6884" w:rsidRDefault="00205A13" w:rsidP="000E24D4">
      <w:pPr>
        <w:shd w:val="clear" w:color="auto" w:fill="FFFFFF"/>
        <w:ind w:left="720" w:right="22"/>
        <w:jc w:val="both"/>
        <w:rPr>
          <w:rFonts w:ascii="Times New Roman" w:hAnsi="Times New Roman" w:cs="Times New Roman"/>
          <w:sz w:val="22"/>
          <w:szCs w:val="22"/>
          <w:lang w:val="es-ES_tradnl" w:eastAsia="es-ES_tradnl"/>
        </w:rPr>
      </w:pPr>
    </w:p>
    <w:p w:rsidR="006C0067" w:rsidRPr="001F6884" w:rsidRDefault="006C0067" w:rsidP="000E24D4">
      <w:pPr>
        <w:shd w:val="clear" w:color="auto" w:fill="FFFFFF"/>
        <w:ind w:left="720" w:right="22"/>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 xml:space="preserve">Las correcciones valorativas por deterioro, así como su reversión cuando el importe de </w:t>
      </w:r>
      <w:r w:rsidRPr="001F6884">
        <w:rPr>
          <w:rFonts w:ascii="Times New Roman" w:hAnsi="Times New Roman" w:cs="Times New Roman"/>
          <w:spacing w:val="-1"/>
          <w:sz w:val="22"/>
          <w:szCs w:val="22"/>
          <w:lang w:val="es-ES_tradnl"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1F6884">
        <w:rPr>
          <w:rFonts w:ascii="Times New Roman" w:hAnsi="Times New Roman" w:cs="Times New Roman"/>
          <w:sz w:val="22"/>
          <w:szCs w:val="22"/>
          <w:lang w:val="es-ES_tradnl" w:eastAsia="es-ES_tradnl"/>
        </w:rPr>
        <w:t>reversión si no se hubieses registrado el deterioro del valor.</w:t>
      </w:r>
    </w:p>
    <w:p w:rsidR="000E24D4" w:rsidRPr="001F6884" w:rsidRDefault="000E24D4" w:rsidP="000E24D4">
      <w:pPr>
        <w:shd w:val="clear" w:color="auto" w:fill="FFFFFF"/>
        <w:ind w:left="720" w:right="22"/>
        <w:jc w:val="both"/>
        <w:rPr>
          <w:rFonts w:ascii="Times New Roman" w:hAnsi="Times New Roman" w:cs="Times New Roman"/>
          <w:sz w:val="22"/>
          <w:szCs w:val="22"/>
          <w:lang w:val="es-ES_tradnl" w:eastAsia="es-ES_tradnl"/>
        </w:rPr>
      </w:pPr>
    </w:p>
    <w:p w:rsidR="006C0067" w:rsidRPr="001F6884" w:rsidRDefault="005461DE" w:rsidP="000E24D4">
      <w:pPr>
        <w:shd w:val="clear" w:color="auto" w:fill="FFFFFF"/>
        <w:tabs>
          <w:tab w:val="left" w:pos="1134"/>
        </w:tabs>
        <w:ind w:firstLine="708"/>
        <w:jc w:val="both"/>
        <w:rPr>
          <w:rFonts w:ascii="Times New Roman" w:hAnsi="Times New Roman" w:cs="Times New Roman"/>
          <w:b/>
          <w:sz w:val="22"/>
          <w:szCs w:val="22"/>
          <w:lang w:val="es-ES_tradnl" w:eastAsia="es-ES_tradnl"/>
        </w:rPr>
      </w:pPr>
      <w:r w:rsidRPr="001F6884">
        <w:rPr>
          <w:rFonts w:ascii="Times New Roman" w:hAnsi="Times New Roman" w:cs="Times New Roman"/>
          <w:b/>
          <w:sz w:val="22"/>
          <w:szCs w:val="22"/>
          <w:lang w:val="es-ES_tradnl" w:eastAsia="es-ES_tradnl"/>
        </w:rPr>
        <w:t>4</w:t>
      </w:r>
      <w:r w:rsidR="006C0067" w:rsidRPr="001F6884">
        <w:rPr>
          <w:rFonts w:ascii="Times New Roman" w:hAnsi="Times New Roman" w:cs="Times New Roman"/>
          <w:b/>
          <w:sz w:val="22"/>
          <w:szCs w:val="22"/>
          <w:lang w:val="es-ES_tradnl" w:eastAsia="es-ES_tradnl"/>
        </w:rPr>
        <w:t xml:space="preserve">.4. </w:t>
      </w:r>
      <w:r w:rsidR="00E60B2C" w:rsidRPr="001F6884">
        <w:rPr>
          <w:rFonts w:ascii="Times New Roman" w:hAnsi="Times New Roman" w:cs="Times New Roman"/>
          <w:b/>
          <w:sz w:val="22"/>
          <w:szCs w:val="22"/>
          <w:lang w:val="es-ES_tradnl" w:eastAsia="es-ES_tradnl"/>
        </w:rPr>
        <w:t>P</w:t>
      </w:r>
      <w:r w:rsidR="006C0067" w:rsidRPr="001F6884">
        <w:rPr>
          <w:rFonts w:ascii="Times New Roman" w:hAnsi="Times New Roman" w:cs="Times New Roman"/>
          <w:b/>
          <w:sz w:val="22"/>
          <w:szCs w:val="22"/>
          <w:lang w:val="es-ES_tradnl" w:eastAsia="es-ES_tradnl"/>
        </w:rPr>
        <w:t>asivos financieros:</w:t>
      </w:r>
    </w:p>
    <w:p w:rsidR="006C0067" w:rsidRPr="001F6884" w:rsidRDefault="006C0067" w:rsidP="00E60B2C">
      <w:pPr>
        <w:shd w:val="clear" w:color="auto" w:fill="FFFFFF"/>
        <w:spacing w:before="140"/>
        <w:ind w:right="893" w:firstLine="708"/>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Los pasivos financieros que posee la Sociedad se clasifica en la siguiente categoría: </w:t>
      </w:r>
    </w:p>
    <w:p w:rsidR="006C0067" w:rsidRPr="001F6884" w:rsidRDefault="006C0067" w:rsidP="00E60B2C">
      <w:pPr>
        <w:shd w:val="clear" w:color="auto" w:fill="FFFFFF"/>
        <w:spacing w:before="240"/>
        <w:ind w:right="893" w:firstLine="708"/>
        <w:jc w:val="both"/>
        <w:rPr>
          <w:rFonts w:ascii="Times New Roman" w:hAnsi="Times New Roman" w:cs="Times New Roman"/>
          <w:b/>
          <w:bCs/>
          <w:sz w:val="22"/>
          <w:szCs w:val="22"/>
          <w:lang w:val="es-ES_tradnl" w:eastAsia="es-ES_tradnl"/>
        </w:rPr>
      </w:pPr>
      <w:r w:rsidRPr="001F6884">
        <w:rPr>
          <w:rFonts w:ascii="Times New Roman" w:hAnsi="Times New Roman" w:cs="Times New Roman"/>
          <w:b/>
          <w:bCs/>
          <w:sz w:val="22"/>
          <w:szCs w:val="22"/>
          <w:lang w:val="es-ES_tradnl" w:eastAsia="es-ES_tradnl"/>
        </w:rPr>
        <w:t xml:space="preserve">Pasivos financieros </w:t>
      </w:r>
      <w:r w:rsidRPr="001F6884">
        <w:rPr>
          <w:rFonts w:ascii="Times New Roman" w:hAnsi="Times New Roman" w:cs="Times New Roman"/>
          <w:sz w:val="22"/>
          <w:szCs w:val="22"/>
          <w:lang w:val="es-ES_tradnl" w:eastAsia="es-ES_tradnl"/>
        </w:rPr>
        <w:t xml:space="preserve">a </w:t>
      </w:r>
      <w:r w:rsidRPr="001F6884">
        <w:rPr>
          <w:rFonts w:ascii="Times New Roman" w:hAnsi="Times New Roman" w:cs="Times New Roman"/>
          <w:b/>
          <w:bCs/>
          <w:sz w:val="22"/>
          <w:szCs w:val="22"/>
          <w:lang w:val="es-ES_tradnl" w:eastAsia="es-ES_tradnl"/>
        </w:rPr>
        <w:t xml:space="preserve">coste amortizado </w:t>
      </w:r>
    </w:p>
    <w:p w:rsidR="006C0067" w:rsidRPr="001F6884" w:rsidRDefault="006C0067" w:rsidP="00E60B2C">
      <w:pPr>
        <w:shd w:val="clear" w:color="auto" w:fill="FFFFFF"/>
        <w:spacing w:before="140"/>
        <w:ind w:right="893" w:firstLine="708"/>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En esta categoría se clasifican los:</w:t>
      </w:r>
    </w:p>
    <w:p w:rsidR="00B22ED2" w:rsidRPr="001F6884"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2"/>
          <w:szCs w:val="22"/>
          <w:lang w:val="es-ES_tradnl" w:eastAsia="es-ES_tradnl"/>
        </w:rPr>
      </w:pPr>
      <w:r w:rsidRPr="001F6884">
        <w:rPr>
          <w:rFonts w:ascii="Times New Roman" w:hAnsi="Times New Roman" w:cs="Times New Roman"/>
          <w:spacing w:val="-1"/>
          <w:sz w:val="22"/>
          <w:szCs w:val="22"/>
          <w:lang w:val="es-ES_tradnl" w:eastAsia="es-ES_tradnl"/>
        </w:rPr>
        <w:t xml:space="preserve">Débitos por operaciones comerciales, recogiéndose aquellos pasivos financieros </w:t>
      </w:r>
      <w:r w:rsidRPr="001F6884">
        <w:rPr>
          <w:rFonts w:ascii="Times New Roman" w:hAnsi="Times New Roman" w:cs="Times New Roman"/>
          <w:sz w:val="22"/>
          <w:szCs w:val="22"/>
          <w:lang w:val="es-ES_tradnl" w:eastAsia="es-ES_tradnl"/>
        </w:rPr>
        <w:t>que se originan en la compra de bienes y servicios por operaciones de tráfico de la empresa (proveedores y acreedores varios).</w:t>
      </w:r>
    </w:p>
    <w:p w:rsidR="001A6B48" w:rsidRPr="001F6884"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2"/>
          <w:szCs w:val="22"/>
          <w:lang w:val="es-ES_tradnl" w:eastAsia="es-ES_tradnl"/>
        </w:rPr>
      </w:pPr>
      <w:r w:rsidRPr="001F6884">
        <w:rPr>
          <w:rFonts w:ascii="Times New Roman" w:hAnsi="Times New Roman" w:cs="Times New Roman"/>
          <w:spacing w:val="-4"/>
          <w:sz w:val="22"/>
          <w:szCs w:val="22"/>
          <w:lang w:val="es-ES_tradnl" w:eastAsia="es-ES_tradnl"/>
        </w:rPr>
        <w:t xml:space="preserve">Débitos por operaciones no comerciales recogiéndose aquellos pasivos financieros </w:t>
      </w:r>
      <w:r w:rsidRPr="001F6884">
        <w:rPr>
          <w:rFonts w:ascii="Times New Roman" w:hAnsi="Times New Roman" w:cs="Times New Roman"/>
          <w:sz w:val="22"/>
          <w:szCs w:val="22"/>
          <w:lang w:val="es-ES_tradnl" w:eastAsia="es-ES_tradnl"/>
        </w:rPr>
        <w:t>que, no siendo instrumentos derivados, no tienen origen comercial.</w:t>
      </w:r>
    </w:p>
    <w:p w:rsidR="00205A13" w:rsidRDefault="00205A13" w:rsidP="00E60B2C">
      <w:pPr>
        <w:shd w:val="clear" w:color="auto" w:fill="FFFFFF"/>
        <w:ind w:firstLine="708"/>
        <w:jc w:val="both"/>
        <w:rPr>
          <w:rFonts w:ascii="Times New Roman" w:hAnsi="Times New Roman" w:cs="Times New Roman"/>
          <w:spacing w:val="-3"/>
          <w:sz w:val="22"/>
          <w:szCs w:val="22"/>
          <w:u w:val="single"/>
          <w:lang w:val="es-ES_tradnl" w:eastAsia="es-ES_tradnl"/>
        </w:rPr>
      </w:pPr>
    </w:p>
    <w:p w:rsidR="006C0067" w:rsidRPr="001F6884" w:rsidRDefault="006C0067" w:rsidP="00E60B2C">
      <w:pPr>
        <w:shd w:val="clear" w:color="auto" w:fill="FFFFFF"/>
        <w:ind w:firstLine="708"/>
        <w:jc w:val="both"/>
        <w:rPr>
          <w:rFonts w:ascii="Times New Roman" w:hAnsi="Times New Roman" w:cs="Times New Roman"/>
          <w:spacing w:val="-3"/>
          <w:sz w:val="22"/>
          <w:szCs w:val="22"/>
          <w:u w:val="single"/>
          <w:lang w:val="es-ES_tradnl" w:eastAsia="es-ES_tradnl"/>
        </w:rPr>
      </w:pPr>
      <w:r w:rsidRPr="001F6884">
        <w:rPr>
          <w:rFonts w:ascii="Times New Roman" w:hAnsi="Times New Roman" w:cs="Times New Roman"/>
          <w:spacing w:val="-3"/>
          <w:sz w:val="22"/>
          <w:szCs w:val="22"/>
          <w:u w:val="single"/>
          <w:lang w:val="es-ES_tradnl" w:eastAsia="es-ES_tradnl"/>
        </w:rPr>
        <w:t>Valoración Inicial:</w:t>
      </w:r>
    </w:p>
    <w:p w:rsidR="006C0067" w:rsidRPr="001F6884" w:rsidRDefault="006C0067" w:rsidP="006C0067">
      <w:pPr>
        <w:shd w:val="clear" w:color="auto" w:fill="FFFFFF"/>
        <w:ind w:left="720" w:firstLine="720"/>
        <w:jc w:val="both"/>
        <w:rPr>
          <w:rFonts w:ascii="Times New Roman" w:hAnsi="Times New Roman" w:cs="Times New Roman"/>
          <w:sz w:val="22"/>
          <w:szCs w:val="22"/>
        </w:rPr>
      </w:pPr>
    </w:p>
    <w:p w:rsidR="006C0067" w:rsidRPr="001F6884" w:rsidRDefault="006C0067" w:rsidP="00E60B2C">
      <w:pPr>
        <w:shd w:val="clear" w:color="auto" w:fill="FFFFFF"/>
        <w:ind w:left="720" w:right="7"/>
        <w:jc w:val="both"/>
        <w:rPr>
          <w:rFonts w:ascii="Times New Roman" w:hAnsi="Times New Roman" w:cs="Times New Roman"/>
          <w:sz w:val="22"/>
          <w:szCs w:val="22"/>
        </w:rPr>
      </w:pPr>
      <w:r w:rsidRPr="001F6884">
        <w:rPr>
          <w:rFonts w:ascii="Times New Roman" w:hAnsi="Times New Roman" w:cs="Times New Roman"/>
          <w:spacing w:val="-3"/>
          <w:sz w:val="22"/>
          <w:szCs w:val="22"/>
          <w:lang w:val="es-ES_tradnl" w:eastAsia="es-ES_tradnl"/>
        </w:rPr>
        <w:t xml:space="preserve">Se valoran inicialmente por el coste, que equivale al valor razonable de la contraprestación </w:t>
      </w:r>
      <w:r w:rsidRPr="001F6884">
        <w:rPr>
          <w:rFonts w:ascii="Times New Roman" w:hAnsi="Times New Roman" w:cs="Times New Roman"/>
          <w:spacing w:val="-1"/>
          <w:sz w:val="22"/>
          <w:szCs w:val="22"/>
          <w:lang w:val="es-ES_tradnl" w:eastAsia="es-ES_tradnl"/>
        </w:rPr>
        <w:t xml:space="preserve">recibida ajustado por los costes de transacción que les son directamente atribuibles, no obstante, </w:t>
      </w:r>
      <w:r w:rsidRPr="001F6884">
        <w:rPr>
          <w:rFonts w:ascii="Times New Roman" w:hAnsi="Times New Roman" w:cs="Times New Roman"/>
          <w:spacing w:val="-2"/>
          <w:sz w:val="22"/>
          <w:szCs w:val="22"/>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1F6884">
        <w:rPr>
          <w:rFonts w:ascii="Times New Roman" w:hAnsi="Times New Roman" w:cs="Times New Roman"/>
          <w:sz w:val="22"/>
          <w:szCs w:val="22"/>
          <w:lang w:val="es-ES_tradnl" w:eastAsia="es-ES_tradnl"/>
        </w:rPr>
        <w:t>su reconocimiento inicial.</w:t>
      </w:r>
    </w:p>
    <w:p w:rsidR="006C0067" w:rsidRPr="001F6884" w:rsidRDefault="006C0067" w:rsidP="00E60B2C">
      <w:pPr>
        <w:shd w:val="clear" w:color="auto" w:fill="FFFFFF"/>
        <w:spacing w:before="220"/>
        <w:ind w:left="720"/>
        <w:jc w:val="both"/>
        <w:rPr>
          <w:rFonts w:ascii="Times New Roman" w:hAnsi="Times New Roman" w:cs="Times New Roman"/>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No obstante lo señalado en el párrafo anterior, los débitos por operaciones comerciales con </w:t>
      </w:r>
      <w:r w:rsidRPr="001F6884">
        <w:rPr>
          <w:rFonts w:ascii="Times New Roman" w:hAnsi="Times New Roman" w:cs="Times New Roman"/>
          <w:sz w:val="22"/>
          <w:szCs w:val="22"/>
          <w:lang w:val="es-ES_tradnl" w:eastAsia="es-ES_tradnl"/>
        </w:rPr>
        <w:t xml:space="preserve">vencimiento no superior a un año y que no tienen un tipo de interés contractual, así como las </w:t>
      </w:r>
      <w:r w:rsidRPr="001F6884">
        <w:rPr>
          <w:rFonts w:ascii="Times New Roman" w:hAnsi="Times New Roman" w:cs="Times New Roman"/>
          <w:spacing w:val="-3"/>
          <w:sz w:val="22"/>
          <w:szCs w:val="22"/>
          <w:lang w:val="es-ES_tradnl" w:eastAsia="es-ES_tradnl"/>
        </w:rPr>
        <w:t xml:space="preserve">fianzas y los desembolsos exigidos por terceros sobre participaciones, cuyo importe se espera pagar </w:t>
      </w:r>
      <w:r w:rsidRPr="001F6884">
        <w:rPr>
          <w:rFonts w:ascii="Times New Roman" w:hAnsi="Times New Roman" w:cs="Times New Roman"/>
          <w:spacing w:val="-1"/>
          <w:sz w:val="22"/>
          <w:szCs w:val="22"/>
          <w:lang w:val="es-ES_tradnl" w:eastAsia="es-ES_tradnl"/>
        </w:rPr>
        <w:t xml:space="preserve">en el corto plazo, se valoran por su valor nominal, cuando el efecto de no actualizar los flujos de </w:t>
      </w:r>
      <w:r w:rsidRPr="001F6884">
        <w:rPr>
          <w:rFonts w:ascii="Times New Roman" w:hAnsi="Times New Roman" w:cs="Times New Roman"/>
          <w:sz w:val="22"/>
          <w:szCs w:val="22"/>
          <w:lang w:val="es-ES_tradnl" w:eastAsia="es-ES_tradnl"/>
        </w:rPr>
        <w:t>efectivo no es significativo.</w:t>
      </w:r>
    </w:p>
    <w:p w:rsidR="00205A13" w:rsidRDefault="00205A13" w:rsidP="00E60B2C">
      <w:pPr>
        <w:shd w:val="clear" w:color="auto" w:fill="FFFFFF"/>
        <w:ind w:firstLine="708"/>
        <w:jc w:val="both"/>
        <w:rPr>
          <w:rFonts w:ascii="Times New Roman" w:hAnsi="Times New Roman" w:cs="Times New Roman"/>
          <w:spacing w:val="-3"/>
          <w:sz w:val="22"/>
          <w:szCs w:val="22"/>
          <w:u w:val="single"/>
          <w:lang w:val="es-ES_tradnl" w:eastAsia="es-ES_tradnl"/>
        </w:rPr>
      </w:pPr>
    </w:p>
    <w:p w:rsidR="006C0067" w:rsidRPr="001F6884" w:rsidRDefault="006C0067" w:rsidP="00E60B2C">
      <w:pPr>
        <w:shd w:val="clear" w:color="auto" w:fill="FFFFFF"/>
        <w:ind w:firstLine="708"/>
        <w:jc w:val="both"/>
        <w:rPr>
          <w:rFonts w:ascii="Times New Roman" w:hAnsi="Times New Roman" w:cs="Times New Roman"/>
          <w:sz w:val="22"/>
          <w:szCs w:val="22"/>
          <w:u w:val="single"/>
        </w:rPr>
      </w:pPr>
      <w:r w:rsidRPr="001F6884">
        <w:rPr>
          <w:rFonts w:ascii="Times New Roman" w:hAnsi="Times New Roman" w:cs="Times New Roman"/>
          <w:spacing w:val="-3"/>
          <w:sz w:val="22"/>
          <w:szCs w:val="22"/>
          <w:u w:val="single"/>
          <w:lang w:val="es-ES_tradnl" w:eastAsia="es-ES_tradnl"/>
        </w:rPr>
        <w:t>Valoración Posterior:</w:t>
      </w:r>
    </w:p>
    <w:p w:rsidR="006C0067" w:rsidRPr="001F6884" w:rsidRDefault="006C0067" w:rsidP="006C0067">
      <w:pPr>
        <w:shd w:val="clear" w:color="auto" w:fill="FFFFFF"/>
        <w:ind w:left="720" w:right="7" w:firstLine="720"/>
        <w:jc w:val="both"/>
        <w:rPr>
          <w:rFonts w:ascii="Times New Roman" w:hAnsi="Times New Roman" w:cs="Times New Roman"/>
          <w:spacing w:val="-3"/>
          <w:sz w:val="22"/>
          <w:szCs w:val="22"/>
          <w:lang w:val="es-ES_tradnl" w:eastAsia="es-ES_tradnl"/>
        </w:rPr>
      </w:pPr>
    </w:p>
    <w:p w:rsidR="006C0067" w:rsidRPr="001F6884" w:rsidRDefault="006C0067" w:rsidP="00E60B2C">
      <w:pPr>
        <w:shd w:val="clear" w:color="auto" w:fill="FFFFFF"/>
        <w:ind w:left="720" w:right="7"/>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1F6884">
        <w:rPr>
          <w:rFonts w:ascii="Times New Roman" w:hAnsi="Times New Roman" w:cs="Times New Roman"/>
          <w:sz w:val="22"/>
          <w:szCs w:val="22"/>
        </w:rPr>
        <w:t xml:space="preserve">  </w:t>
      </w:r>
      <w:r w:rsidRPr="001F6884">
        <w:rPr>
          <w:rFonts w:ascii="Times New Roman" w:hAnsi="Times New Roman" w:cs="Times New Roman"/>
          <w:sz w:val="22"/>
          <w:szCs w:val="22"/>
          <w:lang w:val="es-ES_tradnl" w:eastAsia="es-ES_tradnl"/>
        </w:rPr>
        <w:t xml:space="preserve">participación y similares, se valoran al coste, incrementado o disminuido por el beneficio o la </w:t>
      </w:r>
      <w:r w:rsidRPr="001F6884">
        <w:rPr>
          <w:rFonts w:ascii="Times New Roman" w:hAnsi="Times New Roman" w:cs="Times New Roman"/>
          <w:spacing w:val="-3"/>
          <w:sz w:val="22"/>
          <w:szCs w:val="22"/>
          <w:lang w:val="es-ES_tradnl" w:eastAsia="es-ES_tradnl"/>
        </w:rPr>
        <w:t>pérdida, respectivamente, que deba atribuirse a los partícipes no gestores.</w:t>
      </w:r>
    </w:p>
    <w:p w:rsidR="008B7EE9" w:rsidRPr="001F6884" w:rsidRDefault="006C0067" w:rsidP="008B7EE9">
      <w:pPr>
        <w:shd w:val="clear" w:color="auto" w:fill="FFFFFF"/>
        <w:spacing w:before="238"/>
        <w:ind w:left="720" w:right="25"/>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No obstante lo anterior, los débitos con vencimiento no superior a un año que, de acuerdo con lo dispuesto en el apartado anterior, se valoren inicialmente por su valor nominal, continuarán </w:t>
      </w:r>
      <w:r w:rsidRPr="001F6884">
        <w:rPr>
          <w:rFonts w:ascii="Times New Roman" w:hAnsi="Times New Roman" w:cs="Times New Roman"/>
          <w:sz w:val="22"/>
          <w:szCs w:val="22"/>
          <w:lang w:val="es-ES_tradnl" w:eastAsia="es-ES_tradnl"/>
        </w:rPr>
        <w:t>valorándose por dicho importe.</w:t>
      </w:r>
    </w:p>
    <w:p w:rsidR="008B7EE9" w:rsidRPr="001F6884" w:rsidRDefault="008B7EE9" w:rsidP="008B7EE9">
      <w:pPr>
        <w:shd w:val="clear" w:color="auto" w:fill="FFFFFF"/>
        <w:ind w:left="720" w:right="22"/>
        <w:jc w:val="both"/>
        <w:rPr>
          <w:rFonts w:ascii="Times New Roman" w:hAnsi="Times New Roman" w:cs="Times New Roman"/>
          <w:sz w:val="22"/>
          <w:szCs w:val="22"/>
          <w:lang w:val="es-ES_tradnl" w:eastAsia="es-ES_tradnl"/>
        </w:rPr>
      </w:pPr>
    </w:p>
    <w:p w:rsidR="00DE49BA" w:rsidRDefault="00754F30" w:rsidP="00DE49BA">
      <w:pPr>
        <w:shd w:val="clear" w:color="auto" w:fill="FFFFFF"/>
        <w:tabs>
          <w:tab w:val="left" w:pos="1134"/>
        </w:tabs>
        <w:ind w:firstLine="709"/>
        <w:jc w:val="both"/>
        <w:rPr>
          <w:rFonts w:ascii="Times New Roman" w:hAnsi="Times New Roman" w:cs="Times New Roman"/>
          <w:b/>
          <w:bCs/>
          <w:spacing w:val="-3"/>
          <w:sz w:val="22"/>
          <w:szCs w:val="22"/>
          <w:lang w:val="es-ES_tradnl" w:eastAsia="es-ES_tradnl"/>
        </w:rPr>
      </w:pPr>
      <w:r w:rsidRPr="001F6884">
        <w:rPr>
          <w:rFonts w:ascii="Times New Roman" w:hAnsi="Times New Roman" w:cs="Times New Roman"/>
          <w:b/>
          <w:bCs/>
          <w:spacing w:val="-4"/>
          <w:sz w:val="22"/>
          <w:szCs w:val="22"/>
          <w:lang w:val="es-ES_tradnl" w:eastAsia="es-ES_tradnl"/>
        </w:rPr>
        <w:t>4</w:t>
      </w:r>
      <w:r w:rsidR="00DE49BA" w:rsidRPr="001F6884">
        <w:rPr>
          <w:rFonts w:ascii="Times New Roman" w:hAnsi="Times New Roman" w:cs="Times New Roman"/>
          <w:b/>
          <w:bCs/>
          <w:spacing w:val="-4"/>
          <w:sz w:val="22"/>
          <w:szCs w:val="22"/>
          <w:lang w:val="es-ES_tradnl" w:eastAsia="es-ES_tradnl"/>
        </w:rPr>
        <w:t>.5</w:t>
      </w:r>
      <w:r w:rsidR="00DE49BA" w:rsidRPr="001F6884">
        <w:rPr>
          <w:rFonts w:ascii="Times New Roman" w:hAnsi="Times New Roman" w:cs="Times New Roman"/>
          <w:b/>
          <w:bCs/>
          <w:sz w:val="22"/>
          <w:szCs w:val="22"/>
          <w:lang w:val="es-ES_tradnl" w:eastAsia="es-ES_tradnl"/>
        </w:rPr>
        <w:t xml:space="preserve">  </w:t>
      </w:r>
      <w:r w:rsidR="00DE49BA" w:rsidRPr="001F6884">
        <w:rPr>
          <w:rFonts w:ascii="Times New Roman" w:hAnsi="Times New Roman" w:cs="Times New Roman"/>
          <w:b/>
          <w:bCs/>
          <w:spacing w:val="-3"/>
          <w:sz w:val="22"/>
          <w:szCs w:val="22"/>
          <w:lang w:val="es-ES_tradnl" w:eastAsia="es-ES_tradnl"/>
        </w:rPr>
        <w:t>Impuesto sobre beneficios:</w:t>
      </w:r>
    </w:p>
    <w:p w:rsidR="00205A13" w:rsidRPr="001F6884" w:rsidRDefault="00205A13" w:rsidP="00DE49BA">
      <w:pPr>
        <w:shd w:val="clear" w:color="auto" w:fill="FFFFFF"/>
        <w:tabs>
          <w:tab w:val="left" w:pos="1134"/>
        </w:tabs>
        <w:ind w:firstLine="709"/>
        <w:jc w:val="both"/>
        <w:rPr>
          <w:rFonts w:ascii="Times New Roman" w:hAnsi="Times New Roman" w:cs="Times New Roman"/>
          <w:b/>
          <w:bCs/>
          <w:spacing w:val="-3"/>
          <w:sz w:val="22"/>
          <w:szCs w:val="22"/>
          <w:lang w:val="es-ES_tradnl" w:eastAsia="es-ES_tradnl"/>
        </w:rPr>
      </w:pPr>
    </w:p>
    <w:p w:rsidR="00DE49BA" w:rsidRPr="001F6884" w:rsidRDefault="00DE49BA" w:rsidP="00DE49BA">
      <w:pPr>
        <w:shd w:val="clear" w:color="auto" w:fill="FFFFFF"/>
        <w:tabs>
          <w:tab w:val="left" w:pos="1134"/>
        </w:tabs>
        <w:ind w:left="709"/>
        <w:jc w:val="both"/>
        <w:rPr>
          <w:rFonts w:ascii="Times New Roman" w:hAnsi="Times New Roman" w:cs="Times New Roman"/>
          <w:sz w:val="22"/>
          <w:szCs w:val="22"/>
          <w:lang w:val="es-ES_tradnl" w:eastAsia="es-ES_tradnl"/>
        </w:rPr>
      </w:pPr>
      <w:r w:rsidRPr="001F6884">
        <w:rPr>
          <w:rFonts w:ascii="Times New Roman" w:hAnsi="Times New Roman" w:cs="Times New Roman"/>
          <w:bCs/>
          <w:spacing w:val="-3"/>
          <w:sz w:val="22"/>
          <w:szCs w:val="22"/>
          <w:lang w:val="es-ES_tradnl" w:eastAsia="es-ES_tradnl"/>
        </w:rPr>
        <w:t>El gasto por impuesto</w:t>
      </w:r>
      <w:r w:rsidRPr="001F6884">
        <w:rPr>
          <w:rFonts w:ascii="Times New Roman" w:hAnsi="Times New Roman" w:cs="Times New Roman"/>
          <w:spacing w:val="-3"/>
          <w:sz w:val="22"/>
          <w:szCs w:val="22"/>
          <w:lang w:val="es-ES_tradnl" w:eastAsia="es-ES_tradnl"/>
        </w:rPr>
        <w:t xml:space="preserve"> sobre beneficios del ejercicio corresponde al impuesto corriente más </w:t>
      </w:r>
      <w:r w:rsidRPr="001F6884">
        <w:rPr>
          <w:rFonts w:ascii="Times New Roman" w:hAnsi="Times New Roman" w:cs="Times New Roman"/>
          <w:sz w:val="22"/>
          <w:szCs w:val="22"/>
          <w:lang w:val="es-ES_tradnl" w:eastAsia="es-ES_tradnl"/>
        </w:rPr>
        <w:t>la variación de los activos y pasivos por impuestos diferidos.</w:t>
      </w:r>
    </w:p>
    <w:p w:rsidR="00DE49BA" w:rsidRDefault="00DE49BA" w:rsidP="00DE49BA">
      <w:pPr>
        <w:shd w:val="clear" w:color="auto" w:fill="FFFFFF"/>
        <w:spacing w:before="241"/>
        <w:ind w:left="720" w:right="25"/>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Los activos y pasivos por impuestos diferidos incluyen las diferencias temporarias que se </w:t>
      </w:r>
      <w:r w:rsidRPr="001F6884">
        <w:rPr>
          <w:rFonts w:ascii="Times New Roman" w:hAnsi="Times New Roman" w:cs="Times New Roman"/>
          <w:sz w:val="22"/>
          <w:szCs w:val="22"/>
          <w:lang w:val="es-ES_tradnl" w:eastAsia="es-ES_tradnl"/>
        </w:rPr>
        <w:t xml:space="preserve">identifican como aquellos importes que se prevén pagaderos o recuperables por las diferencias </w:t>
      </w:r>
      <w:r w:rsidRPr="001F6884">
        <w:rPr>
          <w:rFonts w:ascii="Times New Roman" w:hAnsi="Times New Roman" w:cs="Times New Roman"/>
          <w:spacing w:val="-3"/>
          <w:sz w:val="22"/>
          <w:szCs w:val="22"/>
          <w:lang w:val="es-ES_tradnl" w:eastAsia="es-ES_tradnl"/>
        </w:rPr>
        <w:t xml:space="preserve">entre los importes en libros de los activos y pasivos y su valor fiscal, así como las bases imponibles </w:t>
      </w:r>
      <w:r w:rsidRPr="001F6884">
        <w:rPr>
          <w:rFonts w:ascii="Times New Roman" w:hAnsi="Times New Roman" w:cs="Times New Roman"/>
          <w:sz w:val="22"/>
          <w:szCs w:val="22"/>
          <w:lang w:val="es-ES_tradnl" w:eastAsia="es-ES_tradnl"/>
        </w:rPr>
        <w:t xml:space="preserve">negativas pendientes de compensación y los créditos por deducciones fiscales no aplicadas </w:t>
      </w:r>
      <w:r w:rsidRPr="001F6884">
        <w:rPr>
          <w:rFonts w:ascii="Times New Roman" w:hAnsi="Times New Roman" w:cs="Times New Roman"/>
          <w:spacing w:val="-1"/>
          <w:sz w:val="22"/>
          <w:szCs w:val="22"/>
          <w:lang w:val="es-ES_tradnl" w:eastAsia="es-ES_tradnl"/>
        </w:rPr>
        <w:t xml:space="preserve">fiscalmente. Dichos importes se registran aplicando a la diferencia temporaria o crédito que </w:t>
      </w:r>
      <w:r w:rsidRPr="001F6884">
        <w:rPr>
          <w:rFonts w:ascii="Times New Roman" w:hAnsi="Times New Roman" w:cs="Times New Roman"/>
          <w:spacing w:val="-2"/>
          <w:sz w:val="22"/>
          <w:szCs w:val="22"/>
          <w:lang w:val="es-ES_tradnl" w:eastAsia="es-ES_tradnl"/>
        </w:rPr>
        <w:t>corresponda, el tipo de gravamen al que se espera recuperarlos o liquidarlos.</w:t>
      </w:r>
    </w:p>
    <w:p w:rsidR="00205A13" w:rsidRPr="001F6884" w:rsidRDefault="00205A13" w:rsidP="00DE49BA">
      <w:pPr>
        <w:shd w:val="clear" w:color="auto" w:fill="FFFFFF"/>
        <w:spacing w:before="241"/>
        <w:ind w:left="720" w:right="25"/>
        <w:jc w:val="both"/>
        <w:rPr>
          <w:rFonts w:ascii="Times New Roman" w:hAnsi="Times New Roman" w:cs="Times New Roman"/>
          <w:spacing w:val="-2"/>
          <w:sz w:val="22"/>
          <w:szCs w:val="22"/>
          <w:lang w:val="es-ES_tradnl" w:eastAsia="es-ES_tradnl"/>
        </w:rPr>
      </w:pPr>
    </w:p>
    <w:p w:rsidR="00DE49BA" w:rsidRDefault="00DE49BA" w:rsidP="00DE49BA">
      <w:pPr>
        <w:shd w:val="clear" w:color="auto" w:fill="FFFFFF"/>
        <w:spacing w:before="238"/>
        <w:ind w:left="720" w:right="22"/>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Al cierre del ejercicio la Sociedad revisa los impuestos diferidos registrados llevándose a </w:t>
      </w:r>
      <w:r w:rsidRPr="001F6884">
        <w:rPr>
          <w:rFonts w:ascii="Times New Roman" w:hAnsi="Times New Roman" w:cs="Times New Roman"/>
          <w:sz w:val="22"/>
          <w:szCs w:val="22"/>
          <w:lang w:val="es-ES_tradnl" w:eastAsia="es-ES_tradnl"/>
        </w:rPr>
        <w:t>cabo las correcciones a los mismos que sean necesarias.</w:t>
      </w:r>
    </w:p>
    <w:p w:rsidR="00661043" w:rsidRPr="001F6884" w:rsidRDefault="00661043" w:rsidP="00DE49BA">
      <w:pPr>
        <w:shd w:val="clear" w:color="auto" w:fill="FFFFFF"/>
        <w:spacing w:before="238"/>
        <w:ind w:left="720" w:right="22"/>
        <w:jc w:val="both"/>
        <w:rPr>
          <w:rFonts w:ascii="Times New Roman" w:hAnsi="Times New Roman" w:cs="Times New Roman"/>
          <w:sz w:val="22"/>
          <w:szCs w:val="22"/>
        </w:rPr>
      </w:pPr>
      <w:r>
        <w:rPr>
          <w:rFonts w:ascii="Times New Roman" w:hAnsi="Times New Roman" w:cs="Times New Roman"/>
          <w:sz w:val="22"/>
          <w:szCs w:val="22"/>
          <w:lang w:val="es-ES_tradnl" w:eastAsia="es-ES_tradnl"/>
        </w:rPr>
        <w:t>Debido, a que l</w:t>
      </w:r>
      <w:r w:rsidRPr="00661043">
        <w:rPr>
          <w:rFonts w:ascii="Times New Roman" w:hAnsi="Times New Roman" w:cs="Times New Roman"/>
          <w:spacing w:val="-2"/>
          <w:sz w:val="22"/>
          <w:szCs w:val="22"/>
          <w:lang w:val="es-ES_tradnl" w:eastAsia="es-ES_tradnl"/>
        </w:rPr>
        <w:t xml:space="preserve">a sociedad, de acuerdo al artículo 34 de la Ley del Impuesto de sociedades </w:t>
      </w:r>
      <w:r w:rsidR="00824ED5">
        <w:rPr>
          <w:rFonts w:ascii="Times New Roman" w:hAnsi="Times New Roman" w:cs="Times New Roman"/>
          <w:spacing w:val="-2"/>
          <w:sz w:val="22"/>
          <w:szCs w:val="22"/>
          <w:lang w:val="es-ES_tradnl" w:eastAsia="es-ES_tradnl"/>
        </w:rPr>
        <w:t xml:space="preserve">puede aplicarse </w:t>
      </w:r>
      <w:r w:rsidRPr="00661043">
        <w:rPr>
          <w:rFonts w:ascii="Times New Roman" w:hAnsi="Times New Roman" w:cs="Times New Roman"/>
          <w:spacing w:val="-2"/>
          <w:sz w:val="22"/>
          <w:szCs w:val="22"/>
          <w:lang w:val="es-ES_tradnl" w:eastAsia="es-ES_tradnl"/>
        </w:rPr>
        <w:t xml:space="preserve">una bonificación del 99 por ciento la parte de cuota íntegra que corresponda a las rentas derivadas de la prestación de cual- quiera de los servicios comprendidos en el apartado 2 g) del artículo 25 de la Ley 7/1985, de 2 de abril, </w:t>
      </w:r>
      <w:r>
        <w:rPr>
          <w:rFonts w:ascii="Times New Roman" w:hAnsi="Times New Roman" w:cs="Times New Roman"/>
          <w:spacing w:val="-2"/>
          <w:sz w:val="22"/>
          <w:szCs w:val="22"/>
          <w:lang w:val="es-ES_tradnl" w:eastAsia="es-ES_tradnl"/>
        </w:rPr>
        <w:t>Re</w:t>
      </w:r>
      <w:r w:rsidRPr="00661043">
        <w:rPr>
          <w:rFonts w:ascii="Times New Roman" w:hAnsi="Times New Roman" w:cs="Times New Roman"/>
          <w:spacing w:val="-2"/>
          <w:sz w:val="22"/>
          <w:szCs w:val="22"/>
          <w:lang w:val="es-ES_tradnl" w:eastAsia="es-ES_tradnl"/>
        </w:rPr>
        <w:t>guladora de las Bases del Régimen Local, de competencias de las entidades locales territoriales, municipales y provinciales.</w:t>
      </w:r>
      <w:r w:rsidR="00824ED5">
        <w:rPr>
          <w:rFonts w:ascii="Times New Roman" w:hAnsi="Times New Roman" w:cs="Times New Roman"/>
          <w:spacing w:val="-2"/>
          <w:sz w:val="22"/>
          <w:szCs w:val="22"/>
          <w:lang w:val="es-ES_tradnl" w:eastAsia="es-ES_tradnl"/>
        </w:rPr>
        <w:t xml:space="preserve"> En base a dicha circunstancia</w:t>
      </w:r>
      <w:r w:rsidR="00D85BE3">
        <w:rPr>
          <w:rFonts w:ascii="Times New Roman" w:hAnsi="Times New Roman" w:cs="Times New Roman"/>
          <w:spacing w:val="-2"/>
          <w:sz w:val="22"/>
          <w:szCs w:val="22"/>
          <w:lang w:val="es-ES_tradnl" w:eastAsia="es-ES_tradnl"/>
        </w:rPr>
        <w:t>, y al principio de importancia relativa de los mismos no se procede a la activación de imputación alguna en concepto de activos diferido ni pasivos diferidos.</w:t>
      </w:r>
    </w:p>
    <w:p w:rsidR="00DE49BA" w:rsidRDefault="00D85BE3" w:rsidP="00DE49BA">
      <w:pPr>
        <w:shd w:val="clear" w:color="auto" w:fill="FFFFFF"/>
        <w:spacing w:before="227"/>
        <w:ind w:left="720" w:right="29"/>
        <w:jc w:val="both"/>
        <w:rPr>
          <w:rFonts w:ascii="Times New Roman" w:hAnsi="Times New Roman" w:cs="Times New Roman"/>
          <w:spacing w:val="-3"/>
          <w:sz w:val="22"/>
          <w:szCs w:val="22"/>
          <w:lang w:val="es-ES_tradnl" w:eastAsia="es-ES_tradnl"/>
        </w:rPr>
      </w:pPr>
      <w:r>
        <w:rPr>
          <w:rFonts w:ascii="Times New Roman" w:hAnsi="Times New Roman" w:cs="Times New Roman"/>
          <w:spacing w:val="-2"/>
          <w:sz w:val="22"/>
          <w:szCs w:val="22"/>
          <w:lang w:eastAsia="es-ES_tradnl"/>
        </w:rPr>
        <w:t xml:space="preserve">A tenor de lo anterior y dada </w:t>
      </w:r>
      <w:r w:rsidR="00A43184">
        <w:rPr>
          <w:rFonts w:ascii="Times New Roman" w:hAnsi="Times New Roman" w:cs="Times New Roman"/>
          <w:spacing w:val="-2"/>
          <w:sz w:val="22"/>
          <w:szCs w:val="22"/>
          <w:lang w:eastAsia="es-ES_tradnl"/>
        </w:rPr>
        <w:t xml:space="preserve"> la actividad y el objeto de la entidad y en </w:t>
      </w:r>
      <w:r w:rsidR="00DE49BA" w:rsidRPr="001F6884">
        <w:rPr>
          <w:rFonts w:ascii="Times New Roman" w:hAnsi="Times New Roman" w:cs="Times New Roman"/>
          <w:spacing w:val="-2"/>
          <w:sz w:val="22"/>
          <w:szCs w:val="22"/>
          <w:lang w:val="es-ES_tradnl" w:eastAsia="es-ES_tradnl"/>
        </w:rPr>
        <w:t xml:space="preserve"> aplicación del criterio de prudencia, la entidad ha decidido no activar el crédito fiscal </w:t>
      </w:r>
      <w:r w:rsidR="00DE49BA" w:rsidRPr="001F6884">
        <w:rPr>
          <w:rFonts w:ascii="Times New Roman" w:hAnsi="Times New Roman" w:cs="Times New Roman"/>
          <w:spacing w:val="-3"/>
          <w:sz w:val="22"/>
          <w:szCs w:val="22"/>
          <w:lang w:val="es-ES_tradnl" w:eastAsia="es-ES_tradnl"/>
        </w:rPr>
        <w:t xml:space="preserve">generado por Bases Imponibles Negativas </w:t>
      </w:r>
      <w:r>
        <w:rPr>
          <w:rFonts w:ascii="Times New Roman" w:hAnsi="Times New Roman" w:cs="Times New Roman"/>
          <w:spacing w:val="-3"/>
          <w:sz w:val="22"/>
          <w:szCs w:val="22"/>
          <w:lang w:val="es-ES_tradnl" w:eastAsia="es-ES_tradnl"/>
        </w:rPr>
        <w:t>en el Impuesto sobre Sociedades; ni por su parte  reconocer el pasivo diferido de los activos cedidos de dominio público.</w:t>
      </w:r>
    </w:p>
    <w:p w:rsidR="00205A13" w:rsidRDefault="00205A13" w:rsidP="00205A13">
      <w:pPr>
        <w:shd w:val="clear" w:color="auto" w:fill="FFFFFF"/>
        <w:ind w:firstLine="551"/>
        <w:jc w:val="both"/>
        <w:rPr>
          <w:rFonts w:ascii="Times New Roman" w:hAnsi="Times New Roman" w:cs="Times New Roman"/>
          <w:b/>
          <w:bCs/>
          <w:spacing w:val="-3"/>
          <w:sz w:val="22"/>
          <w:szCs w:val="22"/>
          <w:lang w:val="es-ES_tradnl" w:eastAsia="es-ES_tradnl"/>
        </w:rPr>
      </w:pPr>
    </w:p>
    <w:p w:rsidR="006C0067" w:rsidRPr="00205A13" w:rsidRDefault="00DE49BA" w:rsidP="00205A13">
      <w:pPr>
        <w:shd w:val="clear" w:color="auto" w:fill="FFFFFF"/>
        <w:ind w:firstLine="551"/>
        <w:jc w:val="both"/>
        <w:rPr>
          <w:rFonts w:ascii="Times New Roman" w:hAnsi="Times New Roman" w:cs="Times New Roman"/>
          <w:b/>
          <w:bCs/>
          <w:spacing w:val="-3"/>
          <w:sz w:val="22"/>
          <w:szCs w:val="22"/>
          <w:lang w:val="es-ES_tradnl" w:eastAsia="es-ES_tradnl"/>
        </w:rPr>
      </w:pPr>
      <w:r w:rsidRPr="00205A13">
        <w:rPr>
          <w:rFonts w:ascii="Times New Roman" w:hAnsi="Times New Roman" w:cs="Times New Roman"/>
          <w:b/>
          <w:bCs/>
          <w:spacing w:val="-3"/>
          <w:sz w:val="22"/>
          <w:szCs w:val="22"/>
          <w:lang w:val="es-ES_tradnl" w:eastAsia="es-ES_tradnl"/>
        </w:rPr>
        <w:t xml:space="preserve">  </w:t>
      </w:r>
      <w:r w:rsidR="00D85BE3" w:rsidRPr="00205A13">
        <w:rPr>
          <w:rFonts w:ascii="Times New Roman" w:hAnsi="Times New Roman" w:cs="Times New Roman"/>
          <w:b/>
          <w:bCs/>
          <w:spacing w:val="-3"/>
          <w:sz w:val="22"/>
          <w:szCs w:val="22"/>
          <w:lang w:val="es-ES_tradnl" w:eastAsia="es-ES_tradnl"/>
        </w:rPr>
        <w:t>4.6</w:t>
      </w:r>
      <w:r w:rsidR="00205A13" w:rsidRPr="00205A13">
        <w:rPr>
          <w:rFonts w:ascii="Times New Roman" w:hAnsi="Times New Roman" w:cs="Times New Roman"/>
          <w:b/>
          <w:bCs/>
          <w:spacing w:val="-3"/>
          <w:sz w:val="22"/>
          <w:szCs w:val="22"/>
          <w:lang w:val="es-ES_tradnl" w:eastAsia="es-ES_tradnl"/>
        </w:rPr>
        <w:t xml:space="preserve"> </w:t>
      </w:r>
      <w:r w:rsidR="006C0067" w:rsidRPr="001F6884">
        <w:rPr>
          <w:rFonts w:ascii="Times New Roman" w:hAnsi="Times New Roman" w:cs="Times New Roman"/>
          <w:b/>
          <w:bCs/>
          <w:spacing w:val="-3"/>
          <w:sz w:val="22"/>
          <w:szCs w:val="22"/>
          <w:lang w:val="es-ES_tradnl" w:eastAsia="es-ES_tradnl"/>
        </w:rPr>
        <w:t xml:space="preserve">Ingresos </w:t>
      </w:r>
      <w:r w:rsidR="006C0067" w:rsidRPr="00205A13">
        <w:rPr>
          <w:rFonts w:ascii="Times New Roman" w:hAnsi="Times New Roman" w:cs="Times New Roman"/>
          <w:b/>
          <w:bCs/>
          <w:spacing w:val="-3"/>
          <w:sz w:val="22"/>
          <w:szCs w:val="22"/>
          <w:lang w:val="es-ES_tradnl" w:eastAsia="es-ES_tradnl"/>
        </w:rPr>
        <w:t xml:space="preserve">y </w:t>
      </w:r>
      <w:r w:rsidR="006C0067" w:rsidRPr="001F6884">
        <w:rPr>
          <w:rFonts w:ascii="Times New Roman" w:hAnsi="Times New Roman" w:cs="Times New Roman"/>
          <w:b/>
          <w:bCs/>
          <w:spacing w:val="-3"/>
          <w:sz w:val="22"/>
          <w:szCs w:val="22"/>
          <w:lang w:val="es-ES_tradnl" w:eastAsia="es-ES_tradnl"/>
        </w:rPr>
        <w:t>gastos</w:t>
      </w:r>
      <w:r w:rsidR="00FF7F64" w:rsidRPr="001F6884">
        <w:rPr>
          <w:rFonts w:ascii="Times New Roman" w:hAnsi="Times New Roman" w:cs="Times New Roman"/>
          <w:b/>
          <w:bCs/>
          <w:spacing w:val="-3"/>
          <w:sz w:val="22"/>
          <w:szCs w:val="22"/>
          <w:lang w:val="es-ES_tradnl" w:eastAsia="es-ES_tradnl"/>
        </w:rPr>
        <w:t>:</w:t>
      </w:r>
    </w:p>
    <w:p w:rsidR="006C0067" w:rsidRPr="001F6884" w:rsidRDefault="006C0067" w:rsidP="000A2E24">
      <w:pPr>
        <w:shd w:val="clear" w:color="auto" w:fill="FFFFFF"/>
        <w:spacing w:before="101"/>
        <w:ind w:left="720" w:right="14"/>
        <w:jc w:val="both"/>
        <w:rPr>
          <w:rFonts w:ascii="Times New Roman" w:hAnsi="Times New Roman" w:cs="Times New Roman"/>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Los ingresos y gastos se imputan en función del principio del devengo, es decir, cuando se </w:t>
      </w:r>
      <w:r w:rsidRPr="001F6884">
        <w:rPr>
          <w:rFonts w:ascii="Times New Roman" w:hAnsi="Times New Roman" w:cs="Times New Roman"/>
          <w:spacing w:val="-2"/>
          <w:sz w:val="22"/>
          <w:szCs w:val="22"/>
          <w:lang w:val="es-ES_tradnl" w:eastAsia="es-ES_tradnl"/>
        </w:rPr>
        <w:t xml:space="preserve">produce la corriente real de bienes y servicios que los mismos representan, con independencia del </w:t>
      </w:r>
      <w:r w:rsidRPr="001F6884">
        <w:rPr>
          <w:rFonts w:ascii="Times New Roman" w:hAnsi="Times New Roman" w:cs="Times New Roman"/>
          <w:spacing w:val="-3"/>
          <w:sz w:val="22"/>
          <w:szCs w:val="22"/>
          <w:lang w:val="es-ES_tradnl" w:eastAsia="es-ES_tradnl"/>
        </w:rPr>
        <w:t xml:space="preserve">momento en que se produzca la corriente monetaria o financiera derivada de ellos. Concretamente, </w:t>
      </w:r>
      <w:r w:rsidRPr="001F6884">
        <w:rPr>
          <w:rFonts w:ascii="Times New Roman" w:hAnsi="Times New Roman" w:cs="Times New Roman"/>
          <w:sz w:val="22"/>
          <w:szCs w:val="22"/>
          <w:lang w:val="es-ES_tradnl" w:eastAsia="es-ES_tradnl"/>
        </w:rPr>
        <w:t xml:space="preserve">los ingresos se calculan al valor razonable de la contraprestación a recibir y representan los </w:t>
      </w:r>
      <w:r w:rsidRPr="001F6884">
        <w:rPr>
          <w:rFonts w:ascii="Times New Roman" w:hAnsi="Times New Roman" w:cs="Times New Roman"/>
          <w:spacing w:val="-2"/>
          <w:sz w:val="22"/>
          <w:szCs w:val="22"/>
          <w:lang w:val="es-ES_tradnl" w:eastAsia="es-ES_tradnl"/>
        </w:rPr>
        <w:t xml:space="preserve">importes a cobrar por los bienes entregados y los servicios prestados en el marco ordinario de la </w:t>
      </w:r>
      <w:r w:rsidRPr="001F6884">
        <w:rPr>
          <w:rFonts w:ascii="Times New Roman" w:hAnsi="Times New Roman" w:cs="Times New Roman"/>
          <w:sz w:val="22"/>
          <w:szCs w:val="22"/>
          <w:lang w:val="es-ES_tradnl" w:eastAsia="es-ES_tradnl"/>
        </w:rPr>
        <w:t>actividad, deducidos los descuentos e impuestos.</w:t>
      </w:r>
    </w:p>
    <w:p w:rsidR="00B80766" w:rsidRPr="001F6884" w:rsidRDefault="00B80766" w:rsidP="00E60B2C">
      <w:pPr>
        <w:shd w:val="clear" w:color="auto" w:fill="FFFFFF"/>
        <w:spacing w:before="101"/>
        <w:ind w:left="720" w:right="14"/>
        <w:jc w:val="both"/>
        <w:rPr>
          <w:rFonts w:ascii="Times New Roman" w:hAnsi="Times New Roman" w:cs="Times New Roman"/>
          <w:sz w:val="22"/>
          <w:szCs w:val="22"/>
          <w:lang w:val="es-ES_tradnl" w:eastAsia="es-ES_tradnl"/>
        </w:rPr>
      </w:pPr>
    </w:p>
    <w:p w:rsidR="006C0067" w:rsidRPr="001F6884" w:rsidRDefault="006C0067" w:rsidP="00275D08">
      <w:pPr>
        <w:shd w:val="clear" w:color="auto" w:fill="FFFFFF"/>
        <w:ind w:left="720" w:right="11"/>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z w:val="22"/>
          <w:szCs w:val="22"/>
          <w:lang w:val="es-ES_tradnl" w:eastAsia="es-ES_tradnl"/>
        </w:rPr>
        <w:t xml:space="preserve">Los ingresos por intereses se devengan siguiendo un criterio financiero temporal, en </w:t>
      </w:r>
      <w:r w:rsidRPr="001F6884">
        <w:rPr>
          <w:rFonts w:ascii="Times New Roman" w:hAnsi="Times New Roman" w:cs="Times New Roman"/>
          <w:spacing w:val="-3"/>
          <w:sz w:val="22"/>
          <w:szCs w:val="22"/>
          <w:lang w:val="es-ES_tradnl" w:eastAsia="es-ES_tradnl"/>
        </w:rPr>
        <w:t>función del principal pendiente de pago y el tipo de interés efectivo aplicable.</w:t>
      </w:r>
    </w:p>
    <w:p w:rsidR="00275D08" w:rsidRPr="001F6884" w:rsidRDefault="00275D08" w:rsidP="00275D08">
      <w:pPr>
        <w:shd w:val="clear" w:color="auto" w:fill="FFFFFF"/>
        <w:ind w:left="720" w:right="11"/>
        <w:jc w:val="both"/>
        <w:rPr>
          <w:rFonts w:ascii="Times New Roman" w:hAnsi="Times New Roman" w:cs="Times New Roman"/>
          <w:sz w:val="22"/>
          <w:szCs w:val="22"/>
        </w:rPr>
      </w:pPr>
    </w:p>
    <w:p w:rsidR="006C0067" w:rsidRPr="001F6884" w:rsidRDefault="006C0067" w:rsidP="00275D08">
      <w:pPr>
        <w:shd w:val="clear" w:color="auto" w:fill="FFFFFF"/>
        <w:ind w:left="720" w:right="4"/>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1F6884">
        <w:rPr>
          <w:rFonts w:ascii="Times New Roman" w:hAnsi="Times New Roman" w:cs="Times New Roman"/>
          <w:spacing w:val="-1"/>
          <w:sz w:val="22"/>
          <w:szCs w:val="22"/>
          <w:lang w:val="es-ES_tradnl" w:eastAsia="es-ES_tradnl"/>
        </w:rPr>
        <w:t xml:space="preserve">que figura en el capítulo de Ingresos de la Cuenta de Pérdidas y </w:t>
      </w:r>
      <w:r w:rsidR="00D85BE3">
        <w:rPr>
          <w:rFonts w:ascii="Times New Roman" w:hAnsi="Times New Roman" w:cs="Times New Roman"/>
          <w:spacing w:val="-3"/>
          <w:sz w:val="22"/>
          <w:szCs w:val="22"/>
          <w:lang w:val="es-ES_tradnl" w:eastAsia="es-ES_tradnl"/>
        </w:rPr>
        <w:t>Ganancias Abreviada, las</w:t>
      </w:r>
      <w:r w:rsidRPr="001F6884">
        <w:rPr>
          <w:rFonts w:ascii="Times New Roman" w:hAnsi="Times New Roman" w:cs="Times New Roman"/>
          <w:spacing w:val="-3"/>
          <w:sz w:val="22"/>
          <w:szCs w:val="22"/>
          <w:lang w:val="es-ES_tradnl" w:eastAsia="es-ES_tradnl"/>
        </w:rPr>
        <w:t xml:space="preserve"> Transferencias corrientes y Subvenciones procedentes del socio único el Excmo. Ayuntamiento de Las Palmas de Gran Canaria, habida cuenta de que dichas transferencias no se destinan exclusivamente a financiar gastos de funcionamiento de la Sociedad.</w:t>
      </w:r>
    </w:p>
    <w:p w:rsidR="00275D08" w:rsidRDefault="00275D08" w:rsidP="00275D08">
      <w:pPr>
        <w:shd w:val="clear" w:color="auto" w:fill="FFFFFF"/>
        <w:ind w:left="720" w:right="4"/>
        <w:jc w:val="both"/>
        <w:rPr>
          <w:rFonts w:ascii="Times New Roman" w:hAnsi="Times New Roman" w:cs="Times New Roman"/>
          <w:spacing w:val="-3"/>
          <w:sz w:val="22"/>
          <w:szCs w:val="22"/>
          <w:lang w:val="es-ES_tradnl" w:eastAsia="es-ES_tradnl"/>
        </w:rPr>
      </w:pPr>
    </w:p>
    <w:p w:rsidR="00B459B2" w:rsidRPr="001F6884" w:rsidRDefault="00B459B2" w:rsidP="00B459B2">
      <w:pPr>
        <w:shd w:val="clear" w:color="auto" w:fill="FFFFFF"/>
        <w:ind w:firstLine="551"/>
        <w:jc w:val="both"/>
        <w:rPr>
          <w:rFonts w:ascii="Times New Roman" w:hAnsi="Times New Roman" w:cs="Times New Roman"/>
          <w:b/>
          <w:bCs/>
          <w:spacing w:val="-3"/>
          <w:sz w:val="22"/>
          <w:szCs w:val="22"/>
          <w:lang w:val="es-ES_tradnl" w:eastAsia="es-ES_tradnl"/>
        </w:rPr>
      </w:pPr>
      <w:r w:rsidRPr="001F6884">
        <w:rPr>
          <w:rFonts w:ascii="Times New Roman" w:hAnsi="Times New Roman" w:cs="Times New Roman"/>
          <w:b/>
          <w:bCs/>
          <w:spacing w:val="-3"/>
          <w:sz w:val="22"/>
          <w:szCs w:val="22"/>
          <w:lang w:val="es-ES_tradnl" w:eastAsia="es-ES_tradnl"/>
        </w:rPr>
        <w:t xml:space="preserve">   4.</w:t>
      </w:r>
      <w:r>
        <w:rPr>
          <w:rFonts w:ascii="Times New Roman" w:hAnsi="Times New Roman" w:cs="Times New Roman"/>
          <w:b/>
          <w:bCs/>
          <w:spacing w:val="-3"/>
          <w:sz w:val="22"/>
          <w:szCs w:val="22"/>
          <w:lang w:val="es-ES_tradnl" w:eastAsia="es-ES_tradnl"/>
        </w:rPr>
        <w:t>7</w:t>
      </w:r>
      <w:r w:rsidRPr="001F6884">
        <w:rPr>
          <w:rFonts w:ascii="Times New Roman" w:hAnsi="Times New Roman" w:cs="Times New Roman"/>
          <w:b/>
          <w:bCs/>
          <w:spacing w:val="-3"/>
          <w:sz w:val="22"/>
          <w:szCs w:val="22"/>
          <w:lang w:val="es-ES_tradnl" w:eastAsia="es-ES_tradnl"/>
        </w:rPr>
        <w:t xml:space="preserve">. </w:t>
      </w:r>
      <w:r>
        <w:rPr>
          <w:rFonts w:ascii="Times New Roman" w:hAnsi="Times New Roman" w:cs="Times New Roman"/>
          <w:b/>
          <w:bCs/>
          <w:spacing w:val="-3"/>
          <w:sz w:val="22"/>
          <w:szCs w:val="22"/>
          <w:lang w:val="es-ES_tradnl" w:eastAsia="es-ES_tradnl"/>
        </w:rPr>
        <w:t>Provisiones y pasivos contingentes</w:t>
      </w:r>
      <w:r w:rsidRPr="001F6884">
        <w:rPr>
          <w:rFonts w:ascii="Times New Roman" w:hAnsi="Times New Roman" w:cs="Times New Roman"/>
          <w:b/>
          <w:bCs/>
          <w:spacing w:val="-3"/>
          <w:sz w:val="22"/>
          <w:szCs w:val="22"/>
          <w:lang w:val="es-ES_tradnl" w:eastAsia="es-ES_tradnl"/>
        </w:rPr>
        <w:t>:</w:t>
      </w:r>
    </w:p>
    <w:p w:rsidR="00205A13" w:rsidRDefault="00205A13" w:rsidP="00B459B2">
      <w:pPr>
        <w:shd w:val="clear" w:color="auto" w:fill="FFFFFF"/>
        <w:ind w:left="720" w:right="4"/>
        <w:jc w:val="both"/>
        <w:rPr>
          <w:rFonts w:ascii="Times New Roman" w:hAnsi="Times New Roman" w:cs="Times New Roman"/>
          <w:spacing w:val="-3"/>
          <w:sz w:val="22"/>
          <w:szCs w:val="22"/>
          <w:lang w:val="es-ES_tradnl" w:eastAsia="es-ES_tradnl"/>
        </w:rPr>
      </w:pPr>
    </w:p>
    <w:p w:rsidR="00B459B2" w:rsidRPr="00B459B2"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r w:rsidRPr="00B459B2">
        <w:rPr>
          <w:rFonts w:ascii="Times New Roman" w:hAnsi="Times New Roman" w:cs="Times New Roman"/>
          <w:spacing w:val="-3"/>
          <w:sz w:val="22"/>
          <w:szCs w:val="22"/>
          <w:lang w:val="es-ES_tradnl" w:eastAsia="es-ES_tradnl"/>
        </w:rPr>
        <w:t>Las provisiones para litigios u otros riesgos se reconocen cuando la sociedad tiene una obligación presente, ya sea legal o explícita, como resultado de sucesos pasados, es probable que  vaya a ser necesaria una salida de recursos para liquidar la obligación y el importe se puede estimar de forma fiable.</w:t>
      </w:r>
    </w:p>
    <w:p w:rsidR="00B459B2" w:rsidRPr="00B459B2"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p>
    <w:p w:rsidR="00B459B2" w:rsidRPr="00B459B2"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r w:rsidRPr="00B459B2">
        <w:rPr>
          <w:rFonts w:ascii="Times New Roman" w:hAnsi="Times New Roman" w:cs="Times New Roman"/>
          <w:spacing w:val="-3"/>
          <w:sz w:val="22"/>
          <w:szCs w:val="22"/>
          <w:lang w:val="es-ES_tradnl" w:eastAsia="es-ES_tradnl"/>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Las provisiones con vencimiento inferior o igual a un año, se registran por el nominal, no reconociendo el efecto financiero por ser no significativo.</w:t>
      </w:r>
    </w:p>
    <w:p w:rsidR="00B459B2" w:rsidRPr="00B459B2"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p>
    <w:p w:rsidR="00B459B2"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r>
        <w:rPr>
          <w:rFonts w:ascii="Times New Roman" w:hAnsi="Times New Roman" w:cs="Times New Roman"/>
          <w:spacing w:val="-3"/>
          <w:sz w:val="22"/>
          <w:szCs w:val="22"/>
          <w:lang w:val="es-ES_tradnl" w:eastAsia="es-ES_tradnl"/>
        </w:rPr>
        <w:t>En el presente ejercicio, los posibles pasivos contingentes  han sido considerados no significativos</w:t>
      </w:r>
    </w:p>
    <w:p w:rsidR="00B459B2"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p>
    <w:p w:rsidR="006C0067" w:rsidRPr="001F6884" w:rsidRDefault="00E60B2C" w:rsidP="00275D08">
      <w:pPr>
        <w:shd w:val="clear" w:color="auto" w:fill="FFFFFF"/>
        <w:ind w:firstLine="551"/>
        <w:jc w:val="both"/>
        <w:rPr>
          <w:rFonts w:ascii="Times New Roman" w:hAnsi="Times New Roman" w:cs="Times New Roman"/>
          <w:b/>
          <w:bCs/>
          <w:spacing w:val="-3"/>
          <w:sz w:val="22"/>
          <w:szCs w:val="22"/>
          <w:lang w:val="es-ES_tradnl" w:eastAsia="es-ES_tradnl"/>
        </w:rPr>
      </w:pPr>
      <w:r w:rsidRPr="001F6884">
        <w:rPr>
          <w:rFonts w:ascii="Times New Roman" w:hAnsi="Times New Roman" w:cs="Times New Roman"/>
          <w:b/>
          <w:bCs/>
          <w:spacing w:val="-3"/>
          <w:sz w:val="22"/>
          <w:szCs w:val="22"/>
          <w:lang w:val="es-ES_tradnl" w:eastAsia="es-ES_tradnl"/>
        </w:rPr>
        <w:t xml:space="preserve">   </w:t>
      </w:r>
      <w:r w:rsidR="00754F30" w:rsidRPr="001F6884">
        <w:rPr>
          <w:rFonts w:ascii="Times New Roman" w:hAnsi="Times New Roman" w:cs="Times New Roman"/>
          <w:b/>
          <w:bCs/>
          <w:spacing w:val="-3"/>
          <w:sz w:val="22"/>
          <w:szCs w:val="22"/>
          <w:lang w:val="es-ES_tradnl" w:eastAsia="es-ES_tradnl"/>
        </w:rPr>
        <w:t>4</w:t>
      </w:r>
      <w:r w:rsidR="006C0067" w:rsidRPr="001F6884">
        <w:rPr>
          <w:rFonts w:ascii="Times New Roman" w:hAnsi="Times New Roman" w:cs="Times New Roman"/>
          <w:b/>
          <w:bCs/>
          <w:spacing w:val="-3"/>
          <w:sz w:val="22"/>
          <w:szCs w:val="22"/>
          <w:lang w:val="es-ES_tradnl" w:eastAsia="es-ES_tradnl"/>
        </w:rPr>
        <w:t>.8. Subvenciones,</w:t>
      </w:r>
      <w:r w:rsidR="00FF7F64" w:rsidRPr="001F6884">
        <w:rPr>
          <w:rFonts w:ascii="Times New Roman" w:hAnsi="Times New Roman" w:cs="Times New Roman"/>
          <w:b/>
          <w:bCs/>
          <w:spacing w:val="-3"/>
          <w:sz w:val="22"/>
          <w:szCs w:val="22"/>
          <w:lang w:val="es-ES_tradnl" w:eastAsia="es-ES_tradnl"/>
        </w:rPr>
        <w:t xml:space="preserve"> donaciones y legados recibidos:</w:t>
      </w:r>
    </w:p>
    <w:p w:rsidR="006C0067" w:rsidRPr="001F6884" w:rsidRDefault="006C0067" w:rsidP="00275D08">
      <w:pPr>
        <w:shd w:val="clear" w:color="auto" w:fill="FFFFFF"/>
        <w:ind w:left="720" w:firstLine="720"/>
        <w:jc w:val="both"/>
        <w:rPr>
          <w:rFonts w:ascii="Times New Roman" w:hAnsi="Times New Roman" w:cs="Times New Roman"/>
          <w:b/>
          <w:bCs/>
          <w:spacing w:val="-3"/>
          <w:sz w:val="22"/>
          <w:szCs w:val="22"/>
          <w:lang w:val="es-ES_tradnl" w:eastAsia="es-ES_tradnl"/>
        </w:rPr>
      </w:pPr>
    </w:p>
    <w:p w:rsidR="006C0067" w:rsidRDefault="006C0067" w:rsidP="00275D08">
      <w:pPr>
        <w:shd w:val="clear" w:color="auto" w:fill="FFFFFF"/>
        <w:ind w:left="709"/>
        <w:jc w:val="both"/>
        <w:rPr>
          <w:rFonts w:ascii="Times New Roman" w:hAnsi="Times New Roman" w:cs="Times New Roman"/>
          <w:sz w:val="22"/>
          <w:szCs w:val="22"/>
          <w:lang w:val="es-ES_tradnl" w:eastAsia="es-ES_tradnl"/>
        </w:rPr>
      </w:pPr>
      <w:r w:rsidRPr="001F6884">
        <w:rPr>
          <w:rFonts w:ascii="Times New Roman" w:hAnsi="Times New Roman" w:cs="Times New Roman"/>
          <w:bCs/>
          <w:spacing w:val="-3"/>
          <w:sz w:val="22"/>
          <w:szCs w:val="22"/>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1F6884">
        <w:rPr>
          <w:rFonts w:ascii="Times New Roman" w:hAnsi="Times New Roman" w:cs="Times New Roman"/>
          <w:sz w:val="22"/>
          <w:szCs w:val="22"/>
          <w:lang w:val="es-ES_tradnl" w:eastAsia="es-ES_tradnl"/>
        </w:rPr>
        <w:t>subvencionados.</w:t>
      </w:r>
    </w:p>
    <w:p w:rsidR="00D85BE3" w:rsidRPr="001F6884" w:rsidRDefault="00D85BE3" w:rsidP="00D85BE3">
      <w:pPr>
        <w:shd w:val="clear" w:color="auto" w:fill="FFFFFF"/>
        <w:ind w:left="720" w:right="4"/>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1F6884">
        <w:rPr>
          <w:rFonts w:ascii="Times New Roman" w:hAnsi="Times New Roman" w:cs="Times New Roman"/>
          <w:spacing w:val="-1"/>
          <w:sz w:val="22"/>
          <w:szCs w:val="22"/>
          <w:lang w:val="es-ES_tradnl" w:eastAsia="es-ES_tradnl"/>
        </w:rPr>
        <w:t xml:space="preserve">que figura en el capítulo de Ingresos de la Cuenta de Pérdidas y </w:t>
      </w:r>
      <w:r>
        <w:rPr>
          <w:rFonts w:ascii="Times New Roman" w:hAnsi="Times New Roman" w:cs="Times New Roman"/>
          <w:spacing w:val="-3"/>
          <w:sz w:val="22"/>
          <w:szCs w:val="22"/>
          <w:lang w:val="es-ES_tradnl" w:eastAsia="es-ES_tradnl"/>
        </w:rPr>
        <w:t>Ganancias Abreviada, las</w:t>
      </w:r>
      <w:r w:rsidRPr="001F6884">
        <w:rPr>
          <w:rFonts w:ascii="Times New Roman" w:hAnsi="Times New Roman" w:cs="Times New Roman"/>
          <w:spacing w:val="-3"/>
          <w:sz w:val="22"/>
          <w:szCs w:val="22"/>
          <w:lang w:val="es-ES_tradnl" w:eastAsia="es-ES_tradnl"/>
        </w:rPr>
        <w:t xml:space="preserve"> Transferencias corrientes y Subvenciones procedentes del socio único el Excmo. Ayuntamiento de Las Palmas de Gran Canaria, habida cuenta de que dichas transferencias no se destinan exclusivamente a financiar gastos de funcionamiento de la Sociedad.</w:t>
      </w:r>
    </w:p>
    <w:p w:rsidR="00275D08" w:rsidRPr="001F6884" w:rsidRDefault="00275D08" w:rsidP="00275D08">
      <w:pPr>
        <w:shd w:val="clear" w:color="auto" w:fill="FFFFFF"/>
        <w:ind w:left="709"/>
        <w:jc w:val="both"/>
        <w:rPr>
          <w:rFonts w:ascii="Times New Roman" w:hAnsi="Times New Roman" w:cs="Times New Roman"/>
          <w:sz w:val="22"/>
          <w:szCs w:val="22"/>
          <w:lang w:val="es-ES_tradnl" w:eastAsia="es-ES_tradnl"/>
        </w:rPr>
      </w:pPr>
    </w:p>
    <w:p w:rsidR="006C0067" w:rsidRDefault="006C0067" w:rsidP="00275D08">
      <w:pPr>
        <w:shd w:val="clear" w:color="auto" w:fill="FFFFFF"/>
        <w:ind w:left="709"/>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rsidR="00B459B2" w:rsidRDefault="00B459B2" w:rsidP="00275D08">
      <w:pPr>
        <w:shd w:val="clear" w:color="auto" w:fill="FFFFFF"/>
        <w:ind w:left="709"/>
        <w:jc w:val="both"/>
        <w:rPr>
          <w:rFonts w:ascii="Times New Roman" w:hAnsi="Times New Roman" w:cs="Times New Roman"/>
          <w:sz w:val="22"/>
          <w:szCs w:val="22"/>
          <w:lang w:val="es-ES_tradnl" w:eastAsia="es-ES_tradnl"/>
        </w:rPr>
      </w:pPr>
    </w:p>
    <w:p w:rsidR="00B459B2" w:rsidRDefault="00B459B2" w:rsidP="00B459B2">
      <w:pPr>
        <w:shd w:val="clear" w:color="auto" w:fill="FFFFFF"/>
        <w:ind w:left="720" w:right="29"/>
        <w:jc w:val="both"/>
        <w:rPr>
          <w:rFonts w:ascii="Times New Roman" w:hAnsi="Times New Roman" w:cs="Times New Roman"/>
          <w:b/>
          <w:spacing w:val="-3"/>
          <w:sz w:val="22"/>
          <w:szCs w:val="22"/>
          <w:u w:val="single"/>
          <w:lang w:val="es-ES_tradnl" w:eastAsia="es-ES_tradnl"/>
        </w:rPr>
      </w:pPr>
      <w:r w:rsidRPr="009344BE">
        <w:rPr>
          <w:rFonts w:ascii="Times New Roman" w:hAnsi="Times New Roman" w:cs="Times New Roman"/>
          <w:b/>
          <w:spacing w:val="-3"/>
          <w:sz w:val="22"/>
          <w:szCs w:val="22"/>
          <w:u w:val="single"/>
          <w:lang w:val="es-ES_tradnl" w:eastAsia="es-ES_tradnl"/>
        </w:rPr>
        <w:t>Cesión de bienes de dominio público</w:t>
      </w:r>
    </w:p>
    <w:p w:rsidR="00205A13" w:rsidRPr="009344BE" w:rsidRDefault="00205A13" w:rsidP="00B459B2">
      <w:pPr>
        <w:shd w:val="clear" w:color="auto" w:fill="FFFFFF"/>
        <w:ind w:left="720" w:right="29"/>
        <w:jc w:val="both"/>
        <w:rPr>
          <w:rFonts w:ascii="Times New Roman" w:hAnsi="Times New Roman" w:cs="Times New Roman"/>
          <w:b/>
          <w:spacing w:val="-3"/>
          <w:sz w:val="22"/>
          <w:szCs w:val="22"/>
          <w:u w:val="single"/>
          <w:lang w:val="es-ES_tradnl" w:eastAsia="es-ES_tradnl"/>
        </w:rPr>
      </w:pPr>
    </w:p>
    <w:p w:rsidR="00B459B2" w:rsidRDefault="00B459B2" w:rsidP="00B459B2">
      <w:pPr>
        <w:shd w:val="clear" w:color="auto" w:fill="FFFFFF"/>
        <w:ind w:left="720" w:right="29"/>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w:t>
      </w:r>
      <w:r>
        <w:rPr>
          <w:rFonts w:ascii="Times New Roman" w:hAnsi="Times New Roman" w:cs="Times New Roman"/>
          <w:spacing w:val="-3"/>
          <w:sz w:val="22"/>
          <w:szCs w:val="22"/>
          <w:lang w:val="es-ES_tradnl" w:eastAsia="es-ES_tradnl"/>
        </w:rPr>
        <w:t xml:space="preserve">onaciones y legados de capital”, </w:t>
      </w:r>
      <w:r w:rsidRPr="009344BE">
        <w:rPr>
          <w:rFonts w:ascii="Times New Roman" w:hAnsi="Times New Roman" w:cs="Times New Roman"/>
          <w:spacing w:val="-3"/>
          <w:sz w:val="22"/>
          <w:szCs w:val="22"/>
          <w:lang w:val="es-ES_tradnl" w:eastAsia="es-ES_tradnl"/>
        </w:rPr>
        <w:t>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r>
        <w:rPr>
          <w:rFonts w:ascii="Times New Roman" w:hAnsi="Times New Roman" w:cs="Times New Roman"/>
          <w:spacing w:val="-3"/>
          <w:sz w:val="22"/>
          <w:szCs w:val="22"/>
          <w:lang w:val="es-ES_tradnl" w:eastAsia="es-ES_tradnl"/>
        </w:rPr>
        <w:t>.</w:t>
      </w:r>
    </w:p>
    <w:p w:rsidR="00B459B2" w:rsidRPr="001F6884" w:rsidRDefault="00B459B2" w:rsidP="00B459B2">
      <w:pPr>
        <w:shd w:val="clear" w:color="auto" w:fill="FFFFFF"/>
        <w:spacing w:before="223"/>
        <w:ind w:left="720" w:right="29"/>
        <w:jc w:val="both"/>
        <w:rPr>
          <w:rFonts w:ascii="Times New Roman" w:hAnsi="Times New Roman" w:cs="Times New Roman"/>
          <w:spacing w:val="-3"/>
          <w:sz w:val="22"/>
          <w:szCs w:val="22"/>
          <w:lang w:val="es-ES_tradnl" w:eastAsia="es-ES_tradnl"/>
        </w:rPr>
      </w:pPr>
      <w:r>
        <w:rPr>
          <w:rFonts w:ascii="Times New Roman" w:hAnsi="Times New Roman" w:cs="Times New Roman"/>
          <w:spacing w:val="-3"/>
          <w:sz w:val="22"/>
          <w:szCs w:val="22"/>
          <w:lang w:val="es-ES_tradnl" w:eastAsia="es-ES_tradnl"/>
        </w:rPr>
        <w:t>Dado que</w:t>
      </w:r>
      <w:r w:rsidRPr="0062767F">
        <w:rPr>
          <w:rFonts w:ascii="Times New Roman" w:hAnsi="Times New Roman" w:cs="Times New Roman"/>
          <w:spacing w:val="-3"/>
          <w:sz w:val="22"/>
          <w:szCs w:val="22"/>
          <w:lang w:val="es-ES_tradnl" w:eastAsia="es-ES_tradnl"/>
        </w:rPr>
        <w:t xml:space="preserve"> el plazo acordado por la cesión se extiende a la práctica totalidad de la vida económica de los bienes cedidos, </w:t>
      </w:r>
      <w:r>
        <w:rPr>
          <w:rFonts w:ascii="Times New Roman" w:hAnsi="Times New Roman" w:cs="Times New Roman"/>
          <w:spacing w:val="-3"/>
          <w:sz w:val="22"/>
          <w:szCs w:val="22"/>
          <w:lang w:val="es-ES_tradnl" w:eastAsia="es-ES_tradnl"/>
        </w:rPr>
        <w:t xml:space="preserve">se ha considerado </w:t>
      </w:r>
      <w:r w:rsidRPr="0062767F">
        <w:rPr>
          <w:rFonts w:ascii="Times New Roman" w:hAnsi="Times New Roman" w:cs="Times New Roman"/>
          <w:spacing w:val="-3"/>
          <w:sz w:val="22"/>
          <w:szCs w:val="22"/>
          <w:lang w:val="es-ES_tradnl" w:eastAsia="es-ES_tradnl"/>
        </w:rPr>
        <w:t>esta circunstancia para calificar el derecho de uso de acuerdo con la na</w:t>
      </w:r>
      <w:r>
        <w:rPr>
          <w:rFonts w:ascii="Times New Roman" w:hAnsi="Times New Roman" w:cs="Times New Roman"/>
          <w:spacing w:val="-3"/>
          <w:sz w:val="22"/>
          <w:szCs w:val="22"/>
          <w:lang w:val="es-ES_tradnl" w:eastAsia="es-ES_tradnl"/>
        </w:rPr>
        <w:t xml:space="preserve">turaleza del bien que se recibe, </w:t>
      </w:r>
      <w:r w:rsidRPr="0062767F">
        <w:rPr>
          <w:rFonts w:ascii="Times New Roman" w:hAnsi="Times New Roman" w:cs="Times New Roman"/>
          <w:spacing w:val="-3"/>
          <w:sz w:val="22"/>
          <w:szCs w:val="22"/>
          <w:lang w:val="es-ES_tradnl" w:eastAsia="es-ES_tradnl"/>
        </w:rPr>
        <w:t>en su caso, un inmovilizado material.</w:t>
      </w:r>
    </w:p>
    <w:p w:rsidR="00205A13" w:rsidRDefault="00205A13" w:rsidP="00205A13">
      <w:pPr>
        <w:shd w:val="clear" w:color="auto" w:fill="FFFFFF"/>
        <w:ind w:left="709"/>
        <w:jc w:val="both"/>
        <w:rPr>
          <w:rFonts w:ascii="Times New Roman" w:hAnsi="Times New Roman" w:cs="Times New Roman"/>
          <w:sz w:val="22"/>
          <w:szCs w:val="22"/>
          <w:lang w:val="es-ES_tradnl" w:eastAsia="es-ES_tradnl"/>
        </w:rPr>
      </w:pPr>
    </w:p>
    <w:p w:rsidR="00DE49BA" w:rsidRPr="001F6884" w:rsidRDefault="00754F30" w:rsidP="00205A13">
      <w:pPr>
        <w:shd w:val="clear" w:color="auto" w:fill="FFFFFF"/>
        <w:ind w:left="709"/>
        <w:jc w:val="both"/>
        <w:rPr>
          <w:rFonts w:ascii="Times New Roman" w:hAnsi="Times New Roman" w:cs="Times New Roman"/>
          <w:sz w:val="22"/>
          <w:szCs w:val="22"/>
        </w:rPr>
      </w:pPr>
      <w:r w:rsidRPr="001F6884">
        <w:rPr>
          <w:rFonts w:ascii="Times New Roman" w:hAnsi="Times New Roman" w:cs="Times New Roman"/>
          <w:b/>
          <w:bCs/>
          <w:spacing w:val="-3"/>
          <w:sz w:val="22"/>
          <w:szCs w:val="22"/>
          <w:lang w:val="es-ES_tradnl" w:eastAsia="es-ES_tradnl"/>
        </w:rPr>
        <w:t>4</w:t>
      </w:r>
      <w:r w:rsidR="00DE49BA" w:rsidRPr="001F6884">
        <w:rPr>
          <w:rFonts w:ascii="Times New Roman" w:hAnsi="Times New Roman" w:cs="Times New Roman"/>
          <w:b/>
          <w:bCs/>
          <w:spacing w:val="-3"/>
          <w:sz w:val="22"/>
          <w:szCs w:val="22"/>
          <w:lang w:val="es-ES_tradnl" w:eastAsia="es-ES_tradnl"/>
        </w:rPr>
        <w:t>.9  Transacciones entre partes vinculadas:</w:t>
      </w:r>
    </w:p>
    <w:p w:rsidR="00DE49BA" w:rsidRPr="001F6884" w:rsidRDefault="00DE49BA" w:rsidP="00DE49BA">
      <w:pPr>
        <w:shd w:val="clear" w:color="auto" w:fill="FFFFFF"/>
        <w:spacing w:before="101"/>
        <w:ind w:left="709"/>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 xml:space="preserve">Las operaciones entre empresas del mismo grupo, con independencia del grado de </w:t>
      </w:r>
      <w:r w:rsidRPr="001F6884">
        <w:rPr>
          <w:rFonts w:ascii="Times New Roman" w:hAnsi="Times New Roman" w:cs="Times New Roman"/>
          <w:spacing w:val="-2"/>
          <w:sz w:val="22"/>
          <w:szCs w:val="22"/>
          <w:lang w:val="es-ES_tradnl" w:eastAsia="es-ES_tradnl"/>
        </w:rPr>
        <w:t xml:space="preserve">vinculación, se contabilizan de acuerdo con las normas generales. Los elementos objeto de las transacciones que se realizan se contabilizan en el momento inicial por su valor razonable. La </w:t>
      </w:r>
      <w:r w:rsidRPr="001F6884">
        <w:rPr>
          <w:rFonts w:ascii="Times New Roman" w:hAnsi="Times New Roman" w:cs="Times New Roman"/>
          <w:sz w:val="22"/>
          <w:szCs w:val="22"/>
          <w:lang w:val="es-ES_tradnl" w:eastAsia="es-ES_tradnl"/>
        </w:rPr>
        <w:t>valoración posterior se realiza de acuerdo con lo previsto en las normas particulares para las cuentas que corresponda.</w:t>
      </w:r>
    </w:p>
    <w:p w:rsidR="00754F30" w:rsidRPr="001F6884" w:rsidRDefault="00754F30" w:rsidP="00754F30">
      <w:pPr>
        <w:pStyle w:val="Default"/>
        <w:ind w:left="709"/>
        <w:jc w:val="both"/>
        <w:rPr>
          <w:rFonts w:ascii="Times New Roman" w:hAnsi="Times New Roman" w:cs="Times New Roman"/>
          <w:color w:val="auto"/>
          <w:sz w:val="22"/>
          <w:szCs w:val="22"/>
          <w:lang w:val="es-ES_tradnl" w:eastAsia="es-ES_tradnl"/>
        </w:rPr>
      </w:pPr>
    </w:p>
    <w:p w:rsidR="00754F30" w:rsidRPr="001F6884" w:rsidRDefault="00754F30" w:rsidP="00754F30">
      <w:pPr>
        <w:pStyle w:val="Default"/>
        <w:ind w:left="709"/>
        <w:jc w:val="both"/>
        <w:rPr>
          <w:rFonts w:ascii="Times New Roman" w:hAnsi="Times New Roman" w:cs="Times New Roman"/>
          <w:color w:val="auto"/>
          <w:sz w:val="22"/>
          <w:szCs w:val="22"/>
          <w:lang w:val="es-ES_tradnl" w:eastAsia="es-ES_tradnl"/>
        </w:rPr>
      </w:pPr>
      <w:r w:rsidRPr="001F6884">
        <w:rPr>
          <w:rFonts w:ascii="Times New Roman" w:hAnsi="Times New Roman" w:cs="Times New Roman"/>
          <w:color w:val="auto"/>
          <w:sz w:val="22"/>
          <w:szCs w:val="22"/>
          <w:lang w:val="es-ES_tradnl" w:eastAsia="es-ES_tradnl"/>
        </w:rPr>
        <w:t>Esta norma de valoración afecta a las partes vinculadas que se especifican en las Normas de elaboración de las cuentas anuales 13ª y 15ª del Plan General de Contabilidad. En este sentido:</w:t>
      </w:r>
    </w:p>
    <w:p w:rsidR="00754F30" w:rsidRPr="001F6884" w:rsidRDefault="00754F30" w:rsidP="00754F30">
      <w:pPr>
        <w:pStyle w:val="Default"/>
        <w:ind w:left="709" w:firstLine="426"/>
        <w:jc w:val="both"/>
        <w:rPr>
          <w:rFonts w:ascii="Times New Roman" w:hAnsi="Times New Roman" w:cs="Times New Roman"/>
          <w:color w:val="auto"/>
          <w:sz w:val="22"/>
          <w:szCs w:val="22"/>
          <w:lang w:val="es-ES_tradnl" w:eastAsia="es-ES_tradnl"/>
        </w:rPr>
      </w:pPr>
    </w:p>
    <w:p w:rsidR="00754F30" w:rsidRPr="001F6884"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1F6884">
        <w:rPr>
          <w:rFonts w:ascii="Times New Roman" w:hAnsi="Times New Roman" w:cs="Times New Roman"/>
          <w:color w:val="auto"/>
          <w:sz w:val="22"/>
          <w:szCs w:val="22"/>
          <w:lang w:val="es-ES_tradnl" w:eastAsia="es-ES_tradnl"/>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estatutarias.</w:t>
      </w:r>
    </w:p>
    <w:p w:rsidR="00754F30" w:rsidRPr="001F6884" w:rsidRDefault="00754F30" w:rsidP="00754F30">
      <w:pPr>
        <w:pStyle w:val="Default"/>
        <w:ind w:left="709"/>
        <w:jc w:val="both"/>
        <w:rPr>
          <w:rFonts w:ascii="Times New Roman" w:hAnsi="Times New Roman" w:cs="Times New Roman"/>
          <w:color w:val="auto"/>
          <w:sz w:val="22"/>
          <w:szCs w:val="22"/>
          <w:lang w:val="es-ES_tradnl" w:eastAsia="es-ES_tradnl"/>
        </w:rPr>
      </w:pPr>
    </w:p>
    <w:p w:rsidR="00754F30" w:rsidRPr="001F6884"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1F6884">
        <w:rPr>
          <w:rFonts w:ascii="Times New Roman" w:hAnsi="Times New Roman" w:cs="Times New Roman"/>
          <w:color w:val="auto"/>
          <w:sz w:val="22"/>
          <w:szCs w:val="22"/>
          <w:lang w:val="es-ES_tradnl" w:eastAsia="es-ES_tradnl"/>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rsidR="00754F30" w:rsidRPr="001F6884" w:rsidRDefault="00754F30" w:rsidP="00754F30">
      <w:pPr>
        <w:pStyle w:val="Default"/>
        <w:ind w:left="709"/>
        <w:jc w:val="both"/>
        <w:rPr>
          <w:rFonts w:ascii="Times New Roman" w:hAnsi="Times New Roman" w:cs="Times New Roman"/>
          <w:color w:val="auto"/>
          <w:sz w:val="22"/>
          <w:szCs w:val="22"/>
          <w:lang w:val="es-ES_tradnl" w:eastAsia="es-ES_tradnl"/>
        </w:rPr>
      </w:pPr>
    </w:p>
    <w:p w:rsidR="00754F30" w:rsidRPr="001F6884" w:rsidRDefault="00754F30" w:rsidP="00754F30">
      <w:pPr>
        <w:pStyle w:val="Default"/>
        <w:numPr>
          <w:ilvl w:val="0"/>
          <w:numId w:val="14"/>
        </w:numPr>
        <w:ind w:left="1135" w:hanging="426"/>
        <w:jc w:val="both"/>
        <w:rPr>
          <w:rFonts w:ascii="Times New Roman" w:hAnsi="Times New Roman" w:cs="Times New Roman"/>
          <w:color w:val="auto"/>
          <w:sz w:val="22"/>
          <w:szCs w:val="22"/>
          <w:lang w:val="es-ES_tradnl" w:eastAsia="es-ES_tradnl"/>
        </w:rPr>
      </w:pPr>
      <w:r w:rsidRPr="001F6884">
        <w:rPr>
          <w:rFonts w:ascii="Times New Roman" w:hAnsi="Times New Roman" w:cs="Times New Roman"/>
          <w:color w:val="auto"/>
          <w:sz w:val="22"/>
          <w:szCs w:val="22"/>
          <w:lang w:val="es-ES_tradnl" w:eastAsia="es-ES_tradnl"/>
        </w:rPr>
        <w:t xml:space="preserve">Se entenderá que una empresa es </w:t>
      </w:r>
      <w:proofErr w:type="spellStart"/>
      <w:r w:rsidRPr="001F6884">
        <w:rPr>
          <w:rFonts w:ascii="Times New Roman" w:hAnsi="Times New Roman" w:cs="Times New Roman"/>
          <w:color w:val="auto"/>
          <w:sz w:val="22"/>
          <w:szCs w:val="22"/>
          <w:lang w:val="es-ES_tradnl" w:eastAsia="es-ES_tradnl"/>
        </w:rPr>
        <w:t>multigrupo</w:t>
      </w:r>
      <w:proofErr w:type="spellEnd"/>
      <w:r w:rsidRPr="001F6884">
        <w:rPr>
          <w:rFonts w:ascii="Times New Roman" w:hAnsi="Times New Roman" w:cs="Times New Roman"/>
          <w:color w:val="auto"/>
          <w:sz w:val="22"/>
          <w:szCs w:val="22"/>
          <w:lang w:val="es-ES_tradnl" w:eastAsia="es-ES_tradnl"/>
        </w:rPr>
        <w:t xml:space="preserve"> cuando esté gestionada conjuntamente por la empresa o alguna o algunas de las empresas del grupo en caso de existir éste, incluidas las entidades o personas físicas dominantes, y uno o varios terceros ajenos al grupo de empresas.</w:t>
      </w:r>
    </w:p>
    <w:p w:rsidR="00754F30" w:rsidRPr="001F6884" w:rsidRDefault="00754F30" w:rsidP="00754F30">
      <w:pPr>
        <w:pStyle w:val="Default"/>
        <w:ind w:left="709"/>
        <w:jc w:val="both"/>
        <w:rPr>
          <w:rFonts w:ascii="Times New Roman" w:hAnsi="Times New Roman" w:cs="Times New Roman"/>
          <w:color w:val="auto"/>
          <w:sz w:val="22"/>
          <w:szCs w:val="22"/>
          <w:lang w:val="es-ES_tradnl" w:eastAsia="es-ES_tradnl"/>
        </w:rPr>
      </w:pPr>
    </w:p>
    <w:p w:rsidR="00754F30" w:rsidRPr="001F6884"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1F6884">
        <w:rPr>
          <w:rFonts w:ascii="Times New Roman" w:hAnsi="Times New Roman" w:cs="Times New Roman"/>
          <w:color w:val="auto"/>
          <w:sz w:val="22"/>
          <w:szCs w:val="22"/>
          <w:lang w:val="es-ES_tradnl" w:eastAsia="es-ES_tradnl"/>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rsidR="00DE49BA" w:rsidRPr="001F6884" w:rsidRDefault="00DE49BA" w:rsidP="00DE49BA">
      <w:pPr>
        <w:shd w:val="clear" w:color="auto" w:fill="FFFFFF"/>
        <w:spacing w:before="238"/>
        <w:ind w:left="709" w:right="7"/>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 xml:space="preserve">Se presumirá, salvo prueba en contrario, que existe influencia significativa cuando la </w:t>
      </w:r>
      <w:r w:rsidRPr="001F6884">
        <w:rPr>
          <w:rFonts w:ascii="Times New Roman" w:hAnsi="Times New Roman" w:cs="Times New Roman"/>
          <w:spacing w:val="-2"/>
          <w:sz w:val="22"/>
          <w:szCs w:val="22"/>
          <w:lang w:val="es-ES_tradnl" w:eastAsia="es-ES_tradnl"/>
        </w:rPr>
        <w:t xml:space="preserve">empresa o una o varias empresas del grupo, incluidas las entidades o personas físicas dominantes, </w:t>
      </w:r>
      <w:r w:rsidRPr="001F6884">
        <w:rPr>
          <w:rFonts w:ascii="Times New Roman" w:hAnsi="Times New Roman" w:cs="Times New Roman"/>
          <w:sz w:val="22"/>
          <w:szCs w:val="22"/>
          <w:lang w:val="es-ES_tradnl" w:eastAsia="es-ES_tradnl"/>
        </w:rPr>
        <w:t>posean, al menos, el 20% de los derechos de voto de otra sociedad.</w:t>
      </w:r>
    </w:p>
    <w:p w:rsidR="00DE49BA" w:rsidRPr="001F6884" w:rsidRDefault="00DE49BA" w:rsidP="00DE49BA">
      <w:pPr>
        <w:shd w:val="clear" w:color="auto" w:fill="FFFFFF"/>
        <w:spacing w:before="241"/>
        <w:ind w:left="709" w:right="7"/>
        <w:jc w:val="both"/>
        <w:rPr>
          <w:rFonts w:ascii="Times New Roman" w:hAnsi="Times New Roman" w:cs="Times New Roman"/>
          <w:spacing w:val="-3"/>
          <w:sz w:val="22"/>
          <w:szCs w:val="22"/>
          <w:lang w:val="es-ES_tradnl" w:eastAsia="es-ES_tradnl"/>
        </w:rPr>
      </w:pPr>
      <w:r w:rsidRPr="001F6884">
        <w:rPr>
          <w:rFonts w:ascii="Times New Roman" w:hAnsi="Times New Roman" w:cs="Times New Roman"/>
          <w:spacing w:val="-3"/>
          <w:sz w:val="22"/>
          <w:szCs w:val="22"/>
          <w:lang w:val="es-ES_tradnl" w:eastAsia="es-ES_tradnl"/>
        </w:rPr>
        <w:t xml:space="preserve">Se entenderá que una empresa es </w:t>
      </w:r>
      <w:proofErr w:type="spellStart"/>
      <w:r w:rsidRPr="001F6884">
        <w:rPr>
          <w:rFonts w:ascii="Times New Roman" w:hAnsi="Times New Roman" w:cs="Times New Roman"/>
          <w:spacing w:val="-3"/>
          <w:sz w:val="22"/>
          <w:szCs w:val="22"/>
          <w:lang w:val="es-ES_tradnl" w:eastAsia="es-ES_tradnl"/>
        </w:rPr>
        <w:t>multigrupo</w:t>
      </w:r>
      <w:proofErr w:type="spellEnd"/>
      <w:r w:rsidRPr="001F6884">
        <w:rPr>
          <w:rFonts w:ascii="Times New Roman" w:hAnsi="Times New Roman" w:cs="Times New Roman"/>
          <w:spacing w:val="-3"/>
          <w:sz w:val="22"/>
          <w:szCs w:val="22"/>
          <w:lang w:val="es-ES_tradnl" w:eastAsia="es-ES_tradnl"/>
        </w:rPr>
        <w:t xml:space="preserve"> cuando esté gestionada conjuntamente por la </w:t>
      </w:r>
      <w:r w:rsidRPr="001F6884">
        <w:rPr>
          <w:rFonts w:ascii="Times New Roman" w:hAnsi="Times New Roman" w:cs="Times New Roman"/>
          <w:sz w:val="22"/>
          <w:szCs w:val="22"/>
          <w:lang w:val="es-ES_tradnl" w:eastAsia="es-ES_tradnl"/>
        </w:rPr>
        <w:t xml:space="preserve">empresa o alguna o algunas de las empresas del grupo en caso de existir éste, incluidas las </w:t>
      </w:r>
      <w:r w:rsidRPr="001F6884">
        <w:rPr>
          <w:rFonts w:ascii="Times New Roman" w:hAnsi="Times New Roman" w:cs="Times New Roman"/>
          <w:spacing w:val="-3"/>
          <w:sz w:val="22"/>
          <w:szCs w:val="22"/>
          <w:lang w:val="es-ES_tradnl" w:eastAsia="es-ES_tradnl"/>
        </w:rPr>
        <w:t>entidades o personas físicas dominantes, y uno o varios terceros ajenos al grupo de empresas.</w:t>
      </w:r>
    </w:p>
    <w:p w:rsidR="00DE49BA" w:rsidRPr="001F6884" w:rsidRDefault="00DE49BA" w:rsidP="00DE49BA">
      <w:pPr>
        <w:shd w:val="clear" w:color="auto" w:fill="FFFFFF"/>
        <w:spacing w:before="227"/>
        <w:ind w:left="709"/>
        <w:jc w:val="both"/>
        <w:rPr>
          <w:rFonts w:ascii="Times New Roman" w:hAnsi="Times New Roman" w:cs="Times New Roman"/>
          <w:sz w:val="22"/>
          <w:szCs w:val="22"/>
          <w:lang w:val="es-ES_tradnl" w:eastAsia="es-ES_tradnl"/>
        </w:rPr>
      </w:pPr>
      <w:r w:rsidRPr="001F6884">
        <w:rPr>
          <w:rFonts w:ascii="Times New Roman" w:hAnsi="Times New Roman" w:cs="Times New Roman"/>
          <w:spacing w:val="-2"/>
          <w:sz w:val="22"/>
          <w:szCs w:val="22"/>
          <w:lang w:val="es-ES_tradnl" w:eastAsia="es-ES_tradnl"/>
        </w:rPr>
        <w:t>La sociedad considera como partes vinculadas a las sociedades en donde existen</w:t>
      </w:r>
      <w:r w:rsidRPr="001F6884">
        <w:rPr>
          <w:rFonts w:ascii="Times New Roman" w:hAnsi="Times New Roman" w:cs="Times New Roman"/>
          <w:sz w:val="22"/>
          <w:szCs w:val="22"/>
          <w:lang w:val="es-ES_tradnl" w:eastAsia="es-ES_tradnl"/>
        </w:rPr>
        <w:t xml:space="preserve"> vínculos de gestión y participación.</w:t>
      </w:r>
    </w:p>
    <w:p w:rsidR="006A0553" w:rsidRPr="001F6884" w:rsidRDefault="006A0553" w:rsidP="00275D08">
      <w:pPr>
        <w:shd w:val="clear" w:color="auto" w:fill="FFFFFF"/>
        <w:ind w:left="709"/>
        <w:jc w:val="both"/>
        <w:rPr>
          <w:rFonts w:ascii="Times New Roman" w:hAnsi="Times New Roman" w:cs="Times New Roman"/>
          <w:sz w:val="22"/>
          <w:szCs w:val="22"/>
          <w:lang w:val="es-ES_tradnl" w:eastAsia="es-ES_tradnl"/>
        </w:rPr>
      </w:pPr>
    </w:p>
    <w:p w:rsidR="006A0553" w:rsidRPr="001F6884" w:rsidRDefault="006E4464" w:rsidP="00275D08">
      <w:pPr>
        <w:shd w:val="clear" w:color="auto" w:fill="FFFFFF"/>
        <w:ind w:left="709"/>
        <w:jc w:val="both"/>
        <w:rPr>
          <w:rFonts w:ascii="Times New Roman" w:hAnsi="Times New Roman" w:cs="Times New Roman"/>
          <w:sz w:val="22"/>
          <w:szCs w:val="22"/>
          <w:lang w:val="es-ES_tradnl" w:eastAsia="es-ES_tradnl"/>
        </w:rPr>
      </w:pPr>
      <w:r w:rsidRPr="001F6884">
        <w:rPr>
          <w:rFonts w:ascii="Times New Roman" w:hAnsi="Times New Roman" w:cs="Times New Roman"/>
          <w:sz w:val="22"/>
          <w:szCs w:val="22"/>
          <w:lang w:val="es-ES_tradnl" w:eastAsia="es-ES_tradnl"/>
        </w:rPr>
        <w:t xml:space="preserve">Las transferencias corrientes y subvenciones recibidas del socio único </w:t>
      </w:r>
      <w:r w:rsidR="00B459B2">
        <w:rPr>
          <w:rFonts w:ascii="Times New Roman" w:hAnsi="Times New Roman" w:cs="Times New Roman"/>
          <w:sz w:val="22"/>
          <w:szCs w:val="22"/>
          <w:lang w:val="es-ES_tradnl" w:eastAsia="es-ES_tradnl"/>
        </w:rPr>
        <w:t xml:space="preserve"> </w:t>
      </w:r>
      <w:r w:rsidR="00B459B2" w:rsidRPr="00B459B2">
        <w:rPr>
          <w:rFonts w:ascii="Times New Roman" w:hAnsi="Times New Roman" w:cs="Times New Roman"/>
          <w:sz w:val="22"/>
          <w:szCs w:val="22"/>
          <w:lang w:val="es-ES_tradnl" w:eastAsia="es-ES_tradnl"/>
        </w:rPr>
        <w:t>Excmo. Ayuntamiento de Las Palmas de Gran Canaria</w:t>
      </w:r>
      <w:r w:rsidR="00B459B2">
        <w:rPr>
          <w:rFonts w:ascii="Times New Roman" w:hAnsi="Times New Roman" w:cs="Times New Roman"/>
          <w:sz w:val="22"/>
          <w:szCs w:val="22"/>
          <w:lang w:val="es-ES_tradnl" w:eastAsia="es-ES_tradnl"/>
        </w:rPr>
        <w:t xml:space="preserve"> </w:t>
      </w:r>
      <w:r w:rsidRPr="001F6884">
        <w:rPr>
          <w:rFonts w:ascii="Times New Roman" w:hAnsi="Times New Roman" w:cs="Times New Roman"/>
          <w:sz w:val="22"/>
          <w:szCs w:val="22"/>
          <w:lang w:val="es-ES_tradnl" w:eastAsia="es-ES_tradnl"/>
        </w:rPr>
        <w:t xml:space="preserve">y detalladas en la </w:t>
      </w:r>
      <w:r w:rsidR="00B459B2">
        <w:rPr>
          <w:rFonts w:ascii="Times New Roman" w:hAnsi="Times New Roman" w:cs="Times New Roman"/>
          <w:sz w:val="22"/>
          <w:szCs w:val="22"/>
          <w:lang w:val="es-ES_tradnl" w:eastAsia="es-ES_tradnl"/>
        </w:rPr>
        <w:t>Memoria</w:t>
      </w:r>
      <w:r w:rsidRPr="001F6884">
        <w:rPr>
          <w:rFonts w:ascii="Times New Roman" w:hAnsi="Times New Roman" w:cs="Times New Roman"/>
          <w:sz w:val="22"/>
          <w:szCs w:val="22"/>
          <w:lang w:val="es-ES_tradnl" w:eastAsia="es-ES_tradnl"/>
        </w:rPr>
        <w:t xml:space="preserve"> tienen el tratamiento contable de subvenciones</w:t>
      </w:r>
      <w:r w:rsidR="00B459B2">
        <w:rPr>
          <w:rFonts w:ascii="Times New Roman" w:hAnsi="Times New Roman" w:cs="Times New Roman"/>
          <w:sz w:val="22"/>
          <w:szCs w:val="22"/>
          <w:lang w:val="es-ES_tradnl" w:eastAsia="es-ES_tradnl"/>
        </w:rPr>
        <w:t xml:space="preserve"> de explotación</w:t>
      </w:r>
      <w:r w:rsidRPr="001F6884">
        <w:rPr>
          <w:rFonts w:ascii="Times New Roman" w:hAnsi="Times New Roman" w:cs="Times New Roman"/>
          <w:sz w:val="22"/>
          <w:szCs w:val="22"/>
          <w:lang w:val="es-ES_tradnl" w:eastAsia="es-ES_tradnl"/>
        </w:rPr>
        <w:t>, no tienen la consideración de  operación vinculada sujeta a la normativa de precios de transferencia que requieren una valoración a precios de mercado, tal y como exige la normativa tributaria al respecto.</w:t>
      </w:r>
    </w:p>
    <w:p w:rsidR="006E4464" w:rsidRPr="001F6884" w:rsidRDefault="006E4464" w:rsidP="00275D08">
      <w:pPr>
        <w:shd w:val="clear" w:color="auto" w:fill="FFFFFF"/>
        <w:ind w:left="709"/>
        <w:jc w:val="both"/>
        <w:rPr>
          <w:rFonts w:ascii="Times New Roman" w:hAnsi="Times New Roman" w:cs="Times New Roman"/>
          <w:sz w:val="22"/>
          <w:szCs w:val="22"/>
          <w:lang w:val="es-ES_tradnl" w:eastAsia="es-ES_tradnl"/>
        </w:rPr>
      </w:pPr>
    </w:p>
    <w:p w:rsidR="006C0067" w:rsidRPr="001F6884" w:rsidRDefault="005E7319" w:rsidP="00275D08">
      <w:pPr>
        <w:shd w:val="clear" w:color="auto" w:fill="FFFFFF"/>
        <w:ind w:left="709"/>
        <w:jc w:val="both"/>
        <w:rPr>
          <w:rFonts w:ascii="Times New Roman" w:hAnsi="Times New Roman" w:cs="Times New Roman"/>
          <w:b/>
          <w:bCs/>
          <w:spacing w:val="-3"/>
          <w:sz w:val="22"/>
          <w:szCs w:val="22"/>
          <w:lang w:val="es-ES_tradnl" w:eastAsia="es-ES_tradnl"/>
        </w:rPr>
      </w:pPr>
      <w:r>
        <w:rPr>
          <w:rFonts w:ascii="Times New Roman" w:hAnsi="Times New Roman" w:cs="Times New Roman"/>
          <w:b/>
          <w:bCs/>
          <w:spacing w:val="-3"/>
          <w:sz w:val="22"/>
          <w:szCs w:val="22"/>
          <w:lang w:val="es-ES_tradnl" w:eastAsia="es-ES_tradnl"/>
        </w:rPr>
        <w:t>4</w:t>
      </w:r>
      <w:r w:rsidR="006C0067" w:rsidRPr="001F6884">
        <w:rPr>
          <w:rFonts w:ascii="Times New Roman" w:hAnsi="Times New Roman" w:cs="Times New Roman"/>
          <w:b/>
          <w:bCs/>
          <w:spacing w:val="-3"/>
          <w:sz w:val="22"/>
          <w:szCs w:val="22"/>
          <w:lang w:val="es-ES_tradnl" w:eastAsia="es-ES_tradnl"/>
        </w:rPr>
        <w:t>.10 Clasificación a corriente y no corriente</w:t>
      </w:r>
      <w:r w:rsidR="00FF7F64" w:rsidRPr="001F6884">
        <w:rPr>
          <w:rFonts w:ascii="Times New Roman" w:hAnsi="Times New Roman" w:cs="Times New Roman"/>
          <w:b/>
          <w:bCs/>
          <w:spacing w:val="-3"/>
          <w:sz w:val="22"/>
          <w:szCs w:val="22"/>
          <w:lang w:val="es-ES_tradnl" w:eastAsia="es-ES_tradnl"/>
        </w:rPr>
        <w:t>:</w:t>
      </w:r>
    </w:p>
    <w:p w:rsidR="00275D08" w:rsidRPr="001F6884" w:rsidRDefault="00275D08" w:rsidP="00275D08">
      <w:pPr>
        <w:shd w:val="clear" w:color="auto" w:fill="FFFFFF"/>
        <w:ind w:left="709"/>
        <w:jc w:val="both"/>
        <w:rPr>
          <w:rFonts w:ascii="Times New Roman" w:hAnsi="Times New Roman" w:cs="Times New Roman"/>
          <w:sz w:val="22"/>
          <w:szCs w:val="22"/>
        </w:rPr>
      </w:pPr>
    </w:p>
    <w:p w:rsidR="006C0067" w:rsidRPr="001F6884" w:rsidRDefault="006C0067" w:rsidP="00275D08">
      <w:pPr>
        <w:shd w:val="clear" w:color="auto" w:fill="FFFFFF"/>
        <w:ind w:left="709"/>
        <w:jc w:val="both"/>
        <w:rPr>
          <w:rFonts w:ascii="Times New Roman" w:hAnsi="Times New Roman" w:cs="Times New Roman"/>
          <w:sz w:val="22"/>
          <w:szCs w:val="22"/>
          <w:lang w:val="es-ES_tradnl" w:eastAsia="es-ES_tradnl"/>
        </w:rPr>
      </w:pPr>
      <w:r w:rsidRPr="001F6884">
        <w:rPr>
          <w:rFonts w:ascii="Times New Roman" w:hAnsi="Times New Roman" w:cs="Times New Roman"/>
          <w:spacing w:val="-1"/>
          <w:sz w:val="22"/>
          <w:szCs w:val="22"/>
          <w:lang w:val="es-ES_tradnl" w:eastAsia="es-ES_tradnl"/>
        </w:rPr>
        <w:t xml:space="preserve">La clasificación entre el corriente y el no corriente se realiza teniendo en cuenta el </w:t>
      </w:r>
      <w:r w:rsidRPr="001F6884">
        <w:rPr>
          <w:rFonts w:ascii="Times New Roman" w:hAnsi="Times New Roman" w:cs="Times New Roman"/>
          <w:spacing w:val="-3"/>
          <w:sz w:val="22"/>
          <w:szCs w:val="22"/>
          <w:lang w:val="es-ES_tradnl" w:eastAsia="es-ES_tradnl"/>
        </w:rPr>
        <w:t xml:space="preserve">plazo previsto para el vencimiento, enajenación o cancelación de las obligaciones y derechos de la </w:t>
      </w:r>
      <w:r w:rsidRPr="001F6884">
        <w:rPr>
          <w:rFonts w:ascii="Times New Roman" w:hAnsi="Times New Roman" w:cs="Times New Roman"/>
          <w:sz w:val="22"/>
          <w:szCs w:val="22"/>
          <w:lang w:val="es-ES_tradnl" w:eastAsia="es-ES_tradnl"/>
        </w:rPr>
        <w:t>empresa. Se considera no corriente cuando es superior a un año contado a partir de la fecha de cierre del ejercicio.</w:t>
      </w:r>
    </w:p>
    <w:p w:rsidR="006D11F1" w:rsidRPr="001F6884" w:rsidRDefault="006D11F1" w:rsidP="0068692D">
      <w:pPr>
        <w:shd w:val="clear" w:color="auto" w:fill="FFFFFF"/>
        <w:spacing w:before="101"/>
        <w:jc w:val="both"/>
        <w:rPr>
          <w:rFonts w:ascii="Times New Roman" w:hAnsi="Times New Roman" w:cs="Times New Roman"/>
          <w:sz w:val="10"/>
          <w:szCs w:val="22"/>
          <w:lang w:val="es-ES_tradnl" w:eastAsia="es-ES_tradnl"/>
        </w:rPr>
      </w:pPr>
    </w:p>
    <w:p w:rsidR="000576A2" w:rsidRDefault="001F6884" w:rsidP="001F0496">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r>
        <w:rPr>
          <w:rFonts w:ascii="Times New Roman" w:hAnsi="Times New Roman" w:cs="Times New Roman"/>
          <w:b/>
          <w:bCs/>
          <w:spacing w:val="-3"/>
          <w:sz w:val="22"/>
          <w:szCs w:val="22"/>
          <w:lang w:val="es-ES_tradnl" w:eastAsia="es-ES_tradnl"/>
        </w:rPr>
        <w:t>5</w:t>
      </w:r>
      <w:r w:rsidR="006C0067" w:rsidRPr="006E07AE">
        <w:rPr>
          <w:rFonts w:ascii="Times New Roman" w:hAnsi="Times New Roman" w:cs="Times New Roman"/>
          <w:b/>
          <w:bCs/>
          <w:spacing w:val="-3"/>
          <w:sz w:val="22"/>
          <w:szCs w:val="22"/>
          <w:lang w:val="es-ES_tradnl" w:eastAsia="es-ES_tradnl"/>
        </w:rPr>
        <w:t xml:space="preserve">. </w:t>
      </w:r>
      <w:r w:rsidR="006C0067" w:rsidRPr="006E07AE">
        <w:rPr>
          <w:rFonts w:ascii="Times New Roman" w:hAnsi="Times New Roman" w:cs="Times New Roman"/>
          <w:b/>
          <w:bCs/>
          <w:spacing w:val="-3"/>
          <w:sz w:val="22"/>
          <w:szCs w:val="22"/>
          <w:u w:val="double"/>
          <w:lang w:val="es-ES_tradnl" w:eastAsia="es-ES_tradnl"/>
        </w:rPr>
        <w:t xml:space="preserve">INMOVILIZADO </w:t>
      </w:r>
      <w:r w:rsidR="000576A2">
        <w:rPr>
          <w:rFonts w:ascii="Times New Roman" w:hAnsi="Times New Roman" w:cs="Times New Roman"/>
          <w:b/>
          <w:bCs/>
          <w:spacing w:val="-3"/>
          <w:sz w:val="22"/>
          <w:szCs w:val="22"/>
          <w:u w:val="double"/>
          <w:lang w:val="es-ES_tradnl" w:eastAsia="es-ES_tradnl"/>
        </w:rPr>
        <w:t>INTANGIBLE</w:t>
      </w:r>
    </w:p>
    <w:p w:rsidR="000576A2" w:rsidRDefault="000576A2" w:rsidP="001F0496">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p>
    <w:p w:rsidR="00A132A5"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r w:rsidRPr="00A132A5">
        <w:rPr>
          <w:rFonts w:ascii="Times New Roman" w:hAnsi="Times New Roman" w:cs="Times New Roman"/>
          <w:color w:val="auto"/>
          <w:spacing w:val="-1"/>
          <w:sz w:val="22"/>
          <w:szCs w:val="22"/>
          <w:lang w:val="es-ES_tradnl" w:eastAsia="es-ES_tradnl"/>
        </w:rPr>
        <w:t>Las partidas que componen el inmovilizado intangible de la Sociedad, así como el movimiento de cada una de estas partidas se puede observar en el cuadro siguiente:</w:t>
      </w:r>
    </w:p>
    <w:p w:rsidR="00A132A5"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p>
    <w:p w:rsidR="00A132A5" w:rsidRP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A132A5">
        <w:rPr>
          <w:rFonts w:ascii="Times New Roman" w:hAnsi="Times New Roman" w:cs="Times New Roman"/>
          <w:b/>
          <w:color w:val="auto"/>
          <w:spacing w:val="-1"/>
          <w:sz w:val="22"/>
          <w:szCs w:val="22"/>
          <w:u w:val="single"/>
          <w:lang w:val="es-ES_tradnl" w:eastAsia="es-ES_tradnl"/>
        </w:rPr>
        <w:t xml:space="preserve">Ejercicio </w:t>
      </w:r>
      <w:r>
        <w:rPr>
          <w:rFonts w:ascii="Times New Roman" w:hAnsi="Times New Roman" w:cs="Times New Roman"/>
          <w:b/>
          <w:color w:val="auto"/>
          <w:spacing w:val="-1"/>
          <w:sz w:val="22"/>
          <w:szCs w:val="22"/>
          <w:u w:val="single"/>
          <w:lang w:val="es-ES_tradnl" w:eastAsia="es-ES_tradnl"/>
        </w:rPr>
        <w:t>2020</w:t>
      </w:r>
    </w:p>
    <w:p w:rsidR="00A132A5"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p>
    <w:tbl>
      <w:tblPr>
        <w:tblW w:w="5750" w:type="dxa"/>
        <w:jc w:val="center"/>
        <w:tblInd w:w="70" w:type="dxa"/>
        <w:tblCellMar>
          <w:left w:w="70" w:type="dxa"/>
          <w:right w:w="70" w:type="dxa"/>
        </w:tblCellMar>
        <w:tblLook w:val="04A0"/>
      </w:tblPr>
      <w:tblGrid>
        <w:gridCol w:w="2270"/>
        <w:gridCol w:w="1160"/>
        <w:gridCol w:w="1160"/>
        <w:gridCol w:w="1160"/>
      </w:tblGrid>
      <w:tr w:rsidR="00A132A5" w:rsidRPr="00A132A5" w:rsidTr="00205A13">
        <w:trPr>
          <w:trHeight w:val="428"/>
          <w:jc w:val="center"/>
        </w:trPr>
        <w:tc>
          <w:tcPr>
            <w:tcW w:w="227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 </w:t>
            </w:r>
          </w:p>
        </w:tc>
        <w:tc>
          <w:tcPr>
            <w:tcW w:w="116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Saldo inicial</w:t>
            </w:r>
          </w:p>
        </w:tc>
        <w:tc>
          <w:tcPr>
            <w:tcW w:w="116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Altas</w:t>
            </w:r>
          </w:p>
        </w:tc>
        <w:tc>
          <w:tcPr>
            <w:tcW w:w="116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 xml:space="preserve">Saldo final </w:t>
            </w:r>
          </w:p>
        </w:tc>
      </w:tr>
      <w:tr w:rsidR="00A132A5" w:rsidRPr="00A132A5" w:rsidTr="00205A13">
        <w:trPr>
          <w:trHeight w:val="267"/>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Propiedad industrial</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2.323,41</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0,00</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2.323,41</w:t>
            </w:r>
          </w:p>
        </w:tc>
      </w:tr>
      <w:tr w:rsidR="00A132A5" w:rsidRPr="00A132A5" w:rsidTr="00205A13">
        <w:trPr>
          <w:trHeight w:val="267"/>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Aplicaciones informáticas</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946,35</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0,00</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946,35</w:t>
            </w:r>
          </w:p>
        </w:tc>
      </w:tr>
      <w:tr w:rsidR="00A132A5" w:rsidRPr="00A132A5" w:rsidTr="00205A13">
        <w:trPr>
          <w:trHeight w:val="267"/>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Total</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sz w:val="18"/>
                <w:szCs w:val="18"/>
              </w:rPr>
            </w:pPr>
            <w:r w:rsidRPr="00A132A5">
              <w:rPr>
                <w:rFonts w:ascii="Cambria" w:hAnsi="Cambria" w:cs="Calibri"/>
                <w:b/>
                <w:bCs/>
                <w:sz w:val="18"/>
                <w:szCs w:val="18"/>
              </w:rPr>
              <w:t>3.269,76</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sz w:val="18"/>
                <w:szCs w:val="18"/>
              </w:rPr>
            </w:pPr>
            <w:r w:rsidRPr="00A132A5">
              <w:rPr>
                <w:rFonts w:ascii="Cambria" w:hAnsi="Cambria" w:cs="Calibri"/>
                <w:b/>
                <w:bCs/>
                <w:sz w:val="18"/>
                <w:szCs w:val="18"/>
              </w:rPr>
              <w:t>0,00</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sz w:val="18"/>
                <w:szCs w:val="18"/>
              </w:rPr>
            </w:pPr>
            <w:r w:rsidRPr="00A132A5">
              <w:rPr>
                <w:rFonts w:ascii="Cambria" w:hAnsi="Cambria" w:cs="Calibri"/>
                <w:b/>
                <w:bCs/>
                <w:sz w:val="18"/>
                <w:szCs w:val="18"/>
              </w:rPr>
              <w:t>3.269,76</w:t>
            </w:r>
          </w:p>
        </w:tc>
      </w:tr>
      <w:tr w:rsidR="00A132A5" w:rsidRPr="00A132A5" w:rsidTr="00205A13">
        <w:trPr>
          <w:trHeight w:val="267"/>
          <w:jc w:val="center"/>
        </w:trPr>
        <w:tc>
          <w:tcPr>
            <w:tcW w:w="227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Amortizaciones:</w:t>
            </w:r>
          </w:p>
        </w:tc>
        <w:tc>
          <w:tcPr>
            <w:tcW w:w="116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c>
          <w:tcPr>
            <w:tcW w:w="116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c>
          <w:tcPr>
            <w:tcW w:w="116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r>
      <w:tr w:rsidR="00A132A5" w:rsidRPr="00A132A5" w:rsidTr="00205A13">
        <w:trPr>
          <w:trHeight w:val="267"/>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sz w:val="18"/>
                <w:szCs w:val="18"/>
              </w:rPr>
            </w:pPr>
            <w:r w:rsidRPr="00A132A5">
              <w:rPr>
                <w:rFonts w:ascii="Cambria" w:hAnsi="Cambria" w:cs="Calibri"/>
                <w:sz w:val="18"/>
                <w:szCs w:val="18"/>
              </w:rPr>
              <w:t>Propiedad industrial</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2.323,41</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0,00</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2.323,41</w:t>
            </w:r>
          </w:p>
        </w:tc>
      </w:tr>
      <w:tr w:rsidR="00A132A5" w:rsidRPr="00A132A5" w:rsidTr="00205A13">
        <w:trPr>
          <w:trHeight w:val="267"/>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sz w:val="18"/>
                <w:szCs w:val="18"/>
              </w:rPr>
            </w:pPr>
            <w:r w:rsidRPr="00A132A5">
              <w:rPr>
                <w:rFonts w:ascii="Cambria" w:hAnsi="Cambria" w:cs="Calibri"/>
                <w:sz w:val="18"/>
                <w:szCs w:val="18"/>
              </w:rPr>
              <w:t>Aplicaciones informáticas</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946,35</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0,00</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946,35</w:t>
            </w:r>
          </w:p>
        </w:tc>
      </w:tr>
      <w:tr w:rsidR="00A132A5" w:rsidRPr="00A132A5" w:rsidTr="00205A13">
        <w:trPr>
          <w:trHeight w:val="267"/>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sz w:val="18"/>
                <w:szCs w:val="18"/>
              </w:rPr>
            </w:pPr>
            <w:r w:rsidRPr="00A132A5">
              <w:rPr>
                <w:rFonts w:ascii="Cambria" w:hAnsi="Cambria" w:cs="Calibri"/>
                <w:b/>
                <w:bCs/>
                <w:sz w:val="18"/>
                <w:szCs w:val="18"/>
              </w:rPr>
              <w:t xml:space="preserve">Total </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sz w:val="18"/>
                <w:szCs w:val="18"/>
              </w:rPr>
            </w:pPr>
            <w:r w:rsidRPr="00A132A5">
              <w:rPr>
                <w:rFonts w:ascii="Cambria" w:hAnsi="Cambria" w:cs="Calibri"/>
                <w:b/>
                <w:bCs/>
                <w:sz w:val="18"/>
                <w:szCs w:val="18"/>
              </w:rPr>
              <w:t>3.269,76</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sz w:val="18"/>
                <w:szCs w:val="18"/>
              </w:rPr>
            </w:pPr>
            <w:r w:rsidRPr="00A132A5">
              <w:rPr>
                <w:rFonts w:ascii="Cambria" w:hAnsi="Cambria" w:cs="Calibri"/>
                <w:b/>
                <w:bCs/>
                <w:sz w:val="18"/>
                <w:szCs w:val="18"/>
              </w:rPr>
              <w:t>0,00</w:t>
            </w:r>
          </w:p>
        </w:tc>
        <w:tc>
          <w:tcPr>
            <w:tcW w:w="116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sz w:val="18"/>
                <w:szCs w:val="18"/>
              </w:rPr>
            </w:pPr>
            <w:r w:rsidRPr="00A132A5">
              <w:rPr>
                <w:rFonts w:ascii="Cambria" w:hAnsi="Cambria" w:cs="Calibri"/>
                <w:b/>
                <w:bCs/>
                <w:sz w:val="18"/>
                <w:szCs w:val="18"/>
              </w:rPr>
              <w:t>3.269,76</w:t>
            </w:r>
          </w:p>
        </w:tc>
      </w:tr>
      <w:tr w:rsidR="00A132A5" w:rsidRPr="00A132A5" w:rsidTr="00205A13">
        <w:trPr>
          <w:trHeight w:val="267"/>
          <w:jc w:val="center"/>
        </w:trPr>
        <w:tc>
          <w:tcPr>
            <w:tcW w:w="227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sz w:val="18"/>
                <w:szCs w:val="18"/>
              </w:rPr>
            </w:pPr>
            <w:r w:rsidRPr="00A132A5">
              <w:rPr>
                <w:rFonts w:ascii="Cambria" w:hAnsi="Cambria" w:cs="Calibri"/>
                <w:b/>
                <w:bCs/>
                <w:sz w:val="18"/>
                <w:szCs w:val="18"/>
              </w:rPr>
              <w:t>VALOR NETO CONTABLE</w:t>
            </w:r>
          </w:p>
        </w:tc>
        <w:tc>
          <w:tcPr>
            <w:tcW w:w="116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sz w:val="18"/>
                <w:szCs w:val="18"/>
              </w:rPr>
            </w:pPr>
            <w:r w:rsidRPr="00A132A5">
              <w:rPr>
                <w:rFonts w:ascii="Cambria" w:hAnsi="Cambria" w:cs="Calibri"/>
                <w:b/>
                <w:bCs/>
                <w:sz w:val="18"/>
                <w:szCs w:val="18"/>
              </w:rPr>
              <w:t>0,00</w:t>
            </w:r>
          </w:p>
        </w:tc>
        <w:tc>
          <w:tcPr>
            <w:tcW w:w="116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sz w:val="18"/>
                <w:szCs w:val="18"/>
              </w:rPr>
            </w:pPr>
            <w:r w:rsidRPr="00A132A5">
              <w:rPr>
                <w:rFonts w:ascii="Cambria" w:hAnsi="Cambria" w:cs="Calibri"/>
                <w:b/>
                <w:bCs/>
                <w:sz w:val="18"/>
                <w:szCs w:val="18"/>
              </w:rPr>
              <w:t> </w:t>
            </w:r>
          </w:p>
        </w:tc>
        <w:tc>
          <w:tcPr>
            <w:tcW w:w="116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sz w:val="18"/>
                <w:szCs w:val="18"/>
              </w:rPr>
            </w:pPr>
            <w:r w:rsidRPr="00A132A5">
              <w:rPr>
                <w:rFonts w:ascii="Cambria" w:hAnsi="Cambria" w:cs="Calibri"/>
                <w:b/>
                <w:bCs/>
                <w:sz w:val="18"/>
                <w:szCs w:val="18"/>
              </w:rPr>
              <w:t>0,00</w:t>
            </w:r>
          </w:p>
        </w:tc>
      </w:tr>
    </w:tbl>
    <w:p w:rsidR="002545FD" w:rsidRDefault="002545FD" w:rsidP="00D16EDD">
      <w:pPr>
        <w:shd w:val="clear" w:color="auto" w:fill="FFFFFF"/>
        <w:spacing w:before="133"/>
        <w:ind w:left="709"/>
        <w:jc w:val="both"/>
        <w:rPr>
          <w:rFonts w:ascii="Times New Roman" w:hAnsi="Times New Roman" w:cs="Times New Roman"/>
          <w:spacing w:val="-4"/>
          <w:sz w:val="22"/>
          <w:szCs w:val="22"/>
          <w:highlight w:val="yellow"/>
          <w:lang w:eastAsia="es-ES_tradnl"/>
        </w:rPr>
      </w:pPr>
    </w:p>
    <w:p w:rsidR="00A132A5" w:rsidRP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A132A5">
        <w:rPr>
          <w:rFonts w:ascii="Times New Roman" w:hAnsi="Times New Roman" w:cs="Times New Roman"/>
          <w:b/>
          <w:color w:val="auto"/>
          <w:spacing w:val="-1"/>
          <w:sz w:val="22"/>
          <w:szCs w:val="22"/>
          <w:u w:val="single"/>
          <w:lang w:val="es-ES_tradnl" w:eastAsia="es-ES_tradnl"/>
        </w:rPr>
        <w:t xml:space="preserve">Ejercicio </w:t>
      </w:r>
      <w:r>
        <w:rPr>
          <w:rFonts w:ascii="Times New Roman" w:hAnsi="Times New Roman" w:cs="Times New Roman"/>
          <w:b/>
          <w:color w:val="auto"/>
          <w:spacing w:val="-1"/>
          <w:sz w:val="22"/>
          <w:szCs w:val="22"/>
          <w:u w:val="single"/>
          <w:lang w:val="es-ES_tradnl" w:eastAsia="es-ES_tradnl"/>
        </w:rPr>
        <w:t>2019</w:t>
      </w:r>
    </w:p>
    <w:p w:rsidR="006E07AE" w:rsidRDefault="006E07AE" w:rsidP="00D16EDD">
      <w:pPr>
        <w:shd w:val="clear" w:color="auto" w:fill="FFFFFF"/>
        <w:spacing w:before="133"/>
        <w:ind w:left="709"/>
        <w:jc w:val="both"/>
        <w:rPr>
          <w:rFonts w:ascii="Times New Roman" w:hAnsi="Times New Roman" w:cs="Times New Roman"/>
          <w:sz w:val="8"/>
          <w:szCs w:val="22"/>
        </w:rPr>
      </w:pPr>
    </w:p>
    <w:tbl>
      <w:tblPr>
        <w:tblW w:w="5711" w:type="dxa"/>
        <w:jc w:val="center"/>
        <w:tblInd w:w="70" w:type="dxa"/>
        <w:tblCellMar>
          <w:left w:w="70" w:type="dxa"/>
          <w:right w:w="70" w:type="dxa"/>
        </w:tblCellMar>
        <w:tblLook w:val="04A0"/>
      </w:tblPr>
      <w:tblGrid>
        <w:gridCol w:w="2270"/>
        <w:gridCol w:w="1147"/>
        <w:gridCol w:w="1147"/>
        <w:gridCol w:w="1147"/>
      </w:tblGrid>
      <w:tr w:rsidR="00A132A5" w:rsidRPr="00A132A5" w:rsidTr="00205A13">
        <w:trPr>
          <w:trHeight w:val="452"/>
          <w:jc w:val="center"/>
        </w:trPr>
        <w:tc>
          <w:tcPr>
            <w:tcW w:w="227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bookmarkStart w:id="0" w:name="_MON_1633413811"/>
            <w:bookmarkStart w:id="1" w:name="_MON_1633413821"/>
            <w:bookmarkStart w:id="2" w:name="_MON_1633413458"/>
            <w:bookmarkEnd w:id="0"/>
            <w:bookmarkEnd w:id="1"/>
            <w:bookmarkEnd w:id="2"/>
            <w:r w:rsidRPr="00A132A5">
              <w:rPr>
                <w:rFonts w:ascii="Cambria" w:hAnsi="Cambria" w:cs="Calibri"/>
                <w:b/>
                <w:bCs/>
                <w:color w:val="000000"/>
                <w:sz w:val="18"/>
                <w:szCs w:val="18"/>
              </w:rPr>
              <w:t> </w:t>
            </w:r>
          </w:p>
        </w:tc>
        <w:tc>
          <w:tcPr>
            <w:tcW w:w="1147"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Saldo inicial</w:t>
            </w:r>
          </w:p>
        </w:tc>
        <w:tc>
          <w:tcPr>
            <w:tcW w:w="1147"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Altas</w:t>
            </w:r>
          </w:p>
        </w:tc>
        <w:tc>
          <w:tcPr>
            <w:tcW w:w="1147"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 xml:space="preserve">Saldo final </w:t>
            </w:r>
          </w:p>
        </w:tc>
      </w:tr>
      <w:tr w:rsidR="00A132A5" w:rsidRPr="00A132A5" w:rsidTr="00205A13">
        <w:trPr>
          <w:trHeight w:val="282"/>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Propiedad industrial</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2.323,41</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2.323,41</w:t>
            </w:r>
          </w:p>
        </w:tc>
      </w:tr>
      <w:tr w:rsidR="00A132A5" w:rsidRPr="00A132A5" w:rsidTr="00205A13">
        <w:trPr>
          <w:trHeight w:val="282"/>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Aplicaciones informáticas</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946,35</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946,35</w:t>
            </w:r>
          </w:p>
        </w:tc>
      </w:tr>
      <w:tr w:rsidR="00A132A5" w:rsidRPr="00A132A5" w:rsidTr="00205A13">
        <w:trPr>
          <w:trHeight w:val="282"/>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Total</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3.269,76</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0,00</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3.269,76</w:t>
            </w:r>
          </w:p>
        </w:tc>
      </w:tr>
      <w:tr w:rsidR="00A132A5" w:rsidRPr="00A132A5" w:rsidTr="00205A13">
        <w:trPr>
          <w:trHeight w:val="282"/>
          <w:jc w:val="center"/>
        </w:trPr>
        <w:tc>
          <w:tcPr>
            <w:tcW w:w="227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Amortizaciones:</w:t>
            </w:r>
          </w:p>
        </w:tc>
        <w:tc>
          <w:tcPr>
            <w:tcW w:w="1147"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c>
          <w:tcPr>
            <w:tcW w:w="1147"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c>
          <w:tcPr>
            <w:tcW w:w="1147"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r>
      <w:tr w:rsidR="00A132A5" w:rsidRPr="00A132A5" w:rsidTr="00205A13">
        <w:trPr>
          <w:trHeight w:val="282"/>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Propiedad industrial</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2.323,41</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2.323,41</w:t>
            </w:r>
          </w:p>
        </w:tc>
      </w:tr>
      <w:tr w:rsidR="00A132A5" w:rsidRPr="00A132A5" w:rsidTr="00205A13">
        <w:trPr>
          <w:trHeight w:val="282"/>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Aplicaciones informáticas</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sz w:val="18"/>
                <w:szCs w:val="18"/>
              </w:rPr>
            </w:pPr>
            <w:r w:rsidRPr="00A132A5">
              <w:rPr>
                <w:rFonts w:ascii="Cambria" w:hAnsi="Cambria" w:cs="Calibri"/>
                <w:sz w:val="18"/>
                <w:szCs w:val="18"/>
              </w:rPr>
              <w:t>946,35</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946,35</w:t>
            </w:r>
          </w:p>
        </w:tc>
      </w:tr>
      <w:tr w:rsidR="00A132A5" w:rsidRPr="00A132A5" w:rsidTr="00205A13">
        <w:trPr>
          <w:trHeight w:val="282"/>
          <w:jc w:val="center"/>
        </w:trPr>
        <w:tc>
          <w:tcPr>
            <w:tcW w:w="227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xml:space="preserve">Total </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3.269,76</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0,00</w:t>
            </w:r>
          </w:p>
        </w:tc>
        <w:tc>
          <w:tcPr>
            <w:tcW w:w="1147"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3.269,76</w:t>
            </w:r>
          </w:p>
        </w:tc>
      </w:tr>
      <w:tr w:rsidR="00A132A5" w:rsidRPr="00A132A5" w:rsidTr="00205A13">
        <w:trPr>
          <w:trHeight w:val="282"/>
          <w:jc w:val="center"/>
        </w:trPr>
        <w:tc>
          <w:tcPr>
            <w:tcW w:w="227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VALOR NETO CONTABLE</w:t>
            </w:r>
          </w:p>
        </w:tc>
        <w:tc>
          <w:tcPr>
            <w:tcW w:w="1147"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0,00</w:t>
            </w:r>
          </w:p>
        </w:tc>
        <w:tc>
          <w:tcPr>
            <w:tcW w:w="1147"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 </w:t>
            </w:r>
          </w:p>
        </w:tc>
        <w:tc>
          <w:tcPr>
            <w:tcW w:w="1147"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0,00</w:t>
            </w:r>
          </w:p>
        </w:tc>
      </w:tr>
    </w:tbl>
    <w:p w:rsidR="00E44FAC" w:rsidRPr="00A132A5" w:rsidRDefault="00E44FAC"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A132A5">
        <w:rPr>
          <w:rFonts w:ascii="Times New Roman" w:hAnsi="Times New Roman" w:cs="Times New Roman"/>
          <w:b/>
          <w:color w:val="auto"/>
          <w:spacing w:val="-1"/>
          <w:sz w:val="22"/>
          <w:szCs w:val="22"/>
          <w:u w:val="single"/>
          <w:lang w:val="es-ES_tradnl" w:eastAsia="es-ES_tradnl"/>
        </w:rPr>
        <w:t>Bienes totalmente amortizados</w:t>
      </w:r>
    </w:p>
    <w:p w:rsidR="00E44FAC" w:rsidRDefault="00E44FAC" w:rsidP="00E44FAC">
      <w:pPr>
        <w:pStyle w:val="Textoindependiente"/>
        <w:spacing w:before="166" w:line="276" w:lineRule="auto"/>
        <w:ind w:right="108" w:firstLine="709"/>
        <w:rPr>
          <w:rFonts w:ascii="Times New Roman" w:hAnsi="Times New Roman"/>
          <w:spacing w:val="-2"/>
          <w:sz w:val="22"/>
          <w:szCs w:val="22"/>
          <w:lang w:val="es-ES_tradnl" w:eastAsia="es-ES_tradnl"/>
        </w:rPr>
      </w:pPr>
      <w:r w:rsidRPr="00E44FAC">
        <w:rPr>
          <w:rFonts w:ascii="Times New Roman" w:hAnsi="Times New Roman"/>
          <w:spacing w:val="-2"/>
          <w:sz w:val="22"/>
          <w:szCs w:val="22"/>
          <w:lang w:val="es-ES_tradnl" w:eastAsia="es-ES_tradnl"/>
        </w:rPr>
        <w:t xml:space="preserve">El inmovilizado intangible totalmente amortizado, al cierre del ejercicio, presenta el siguiente desglose: </w:t>
      </w:r>
    </w:p>
    <w:tbl>
      <w:tblPr>
        <w:tblW w:w="4346" w:type="dxa"/>
        <w:jc w:val="center"/>
        <w:tblInd w:w="70" w:type="dxa"/>
        <w:tblCellMar>
          <w:left w:w="70" w:type="dxa"/>
          <w:right w:w="70" w:type="dxa"/>
        </w:tblCellMar>
        <w:tblLook w:val="04A0"/>
      </w:tblPr>
      <w:tblGrid>
        <w:gridCol w:w="2215"/>
        <w:gridCol w:w="969"/>
        <w:gridCol w:w="1162"/>
      </w:tblGrid>
      <w:tr w:rsidR="00E44FAC" w:rsidRPr="00E44FAC" w:rsidTr="00205A13">
        <w:trPr>
          <w:trHeight w:val="300"/>
          <w:jc w:val="center"/>
        </w:trPr>
        <w:tc>
          <w:tcPr>
            <w:tcW w:w="2215" w:type="dxa"/>
            <w:tcBorders>
              <w:top w:val="single" w:sz="4" w:space="0" w:color="auto"/>
              <w:left w:val="nil"/>
              <w:bottom w:val="single" w:sz="4" w:space="0" w:color="auto"/>
              <w:right w:val="nil"/>
            </w:tcBorders>
            <w:shd w:val="clear" w:color="000000" w:fill="F2F2F2"/>
            <w:vAlign w:val="center"/>
            <w:hideMark/>
          </w:tcPr>
          <w:p w:rsidR="00E44FAC" w:rsidRPr="00E44FAC" w:rsidRDefault="00E44FAC" w:rsidP="00E44FAC">
            <w:pPr>
              <w:widowControl/>
              <w:autoSpaceDE/>
              <w:autoSpaceDN/>
              <w:adjustRightInd/>
              <w:jc w:val="center"/>
              <w:rPr>
                <w:rFonts w:ascii="Cambria" w:hAnsi="Cambria" w:cs="Calibri"/>
                <w:b/>
                <w:bCs/>
                <w:color w:val="000000"/>
                <w:sz w:val="18"/>
                <w:szCs w:val="18"/>
              </w:rPr>
            </w:pPr>
            <w:r w:rsidRPr="00E44FAC">
              <w:rPr>
                <w:rFonts w:ascii="Cambria" w:hAnsi="Cambria" w:cs="Calibri"/>
                <w:b/>
                <w:bCs/>
                <w:color w:val="000000"/>
                <w:sz w:val="18"/>
                <w:szCs w:val="18"/>
              </w:rPr>
              <w:t> </w:t>
            </w:r>
          </w:p>
        </w:tc>
        <w:tc>
          <w:tcPr>
            <w:tcW w:w="969" w:type="dxa"/>
            <w:tcBorders>
              <w:top w:val="single" w:sz="4" w:space="0" w:color="auto"/>
              <w:left w:val="nil"/>
              <w:bottom w:val="single" w:sz="4" w:space="0" w:color="auto"/>
              <w:right w:val="nil"/>
            </w:tcBorders>
            <w:shd w:val="clear" w:color="000000" w:fill="F2F2F2"/>
            <w:vAlign w:val="center"/>
            <w:hideMark/>
          </w:tcPr>
          <w:p w:rsidR="00E44FAC" w:rsidRPr="00E44FAC" w:rsidRDefault="00E44FAC" w:rsidP="00205A13">
            <w:pPr>
              <w:widowControl/>
              <w:autoSpaceDE/>
              <w:autoSpaceDN/>
              <w:adjustRightInd/>
              <w:jc w:val="right"/>
              <w:rPr>
                <w:rFonts w:ascii="Cambria" w:hAnsi="Cambria" w:cs="Calibri"/>
                <w:b/>
                <w:bCs/>
                <w:color w:val="000000"/>
                <w:sz w:val="18"/>
                <w:szCs w:val="18"/>
              </w:rPr>
            </w:pPr>
            <w:r w:rsidRPr="00E44FAC">
              <w:rPr>
                <w:rFonts w:ascii="Cambria" w:hAnsi="Cambria" w:cs="Calibri"/>
                <w:b/>
                <w:bCs/>
                <w:color w:val="000000"/>
                <w:sz w:val="18"/>
                <w:szCs w:val="18"/>
              </w:rPr>
              <w:t>2020</w:t>
            </w:r>
          </w:p>
        </w:tc>
        <w:tc>
          <w:tcPr>
            <w:tcW w:w="1162" w:type="dxa"/>
            <w:tcBorders>
              <w:top w:val="single" w:sz="4" w:space="0" w:color="auto"/>
              <w:left w:val="nil"/>
              <w:bottom w:val="single" w:sz="4" w:space="0" w:color="auto"/>
              <w:right w:val="nil"/>
            </w:tcBorders>
            <w:shd w:val="clear" w:color="000000" w:fill="F2F2F2"/>
            <w:vAlign w:val="center"/>
            <w:hideMark/>
          </w:tcPr>
          <w:p w:rsidR="00E44FAC" w:rsidRPr="00E44FAC" w:rsidRDefault="00E44FAC" w:rsidP="00205A13">
            <w:pPr>
              <w:widowControl/>
              <w:autoSpaceDE/>
              <w:autoSpaceDN/>
              <w:adjustRightInd/>
              <w:jc w:val="right"/>
              <w:rPr>
                <w:rFonts w:ascii="Cambria" w:hAnsi="Cambria" w:cs="Calibri"/>
                <w:b/>
                <w:bCs/>
                <w:color w:val="000000"/>
                <w:sz w:val="18"/>
                <w:szCs w:val="18"/>
              </w:rPr>
            </w:pPr>
            <w:r w:rsidRPr="00E44FAC">
              <w:rPr>
                <w:rFonts w:ascii="Cambria" w:hAnsi="Cambria" w:cs="Calibri"/>
                <w:b/>
                <w:bCs/>
                <w:color w:val="000000"/>
                <w:sz w:val="18"/>
                <w:szCs w:val="18"/>
              </w:rPr>
              <w:t>2019</w:t>
            </w:r>
          </w:p>
        </w:tc>
      </w:tr>
      <w:tr w:rsidR="00E44FAC" w:rsidRPr="00E44FAC" w:rsidTr="00205A13">
        <w:trPr>
          <w:trHeight w:val="300"/>
          <w:jc w:val="center"/>
        </w:trPr>
        <w:tc>
          <w:tcPr>
            <w:tcW w:w="2215" w:type="dxa"/>
            <w:tcBorders>
              <w:top w:val="nil"/>
              <w:left w:val="nil"/>
              <w:bottom w:val="nil"/>
              <w:right w:val="nil"/>
            </w:tcBorders>
            <w:shd w:val="clear" w:color="auto" w:fill="auto"/>
            <w:noWrap/>
            <w:vAlign w:val="center"/>
            <w:hideMark/>
          </w:tcPr>
          <w:p w:rsidR="00E44FAC" w:rsidRPr="00E44FAC" w:rsidRDefault="00E44FAC" w:rsidP="00E44FAC">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Propiedad Industrial</w:t>
            </w:r>
          </w:p>
        </w:tc>
        <w:tc>
          <w:tcPr>
            <w:tcW w:w="969" w:type="dxa"/>
            <w:tcBorders>
              <w:top w:val="nil"/>
              <w:left w:val="nil"/>
              <w:bottom w:val="nil"/>
              <w:right w:val="nil"/>
            </w:tcBorders>
            <w:shd w:val="clear" w:color="auto" w:fill="auto"/>
            <w:vAlign w:val="center"/>
            <w:hideMark/>
          </w:tcPr>
          <w:p w:rsidR="00E44FAC" w:rsidRPr="00E44FAC" w:rsidRDefault="00E44FAC" w:rsidP="00E44FAC">
            <w:pPr>
              <w:widowControl/>
              <w:autoSpaceDE/>
              <w:autoSpaceDN/>
              <w:adjustRightInd/>
              <w:jc w:val="right"/>
              <w:rPr>
                <w:rFonts w:ascii="Cambria" w:hAnsi="Cambria" w:cs="Calibri"/>
                <w:sz w:val="18"/>
                <w:szCs w:val="18"/>
              </w:rPr>
            </w:pPr>
            <w:r w:rsidRPr="00E44FAC">
              <w:rPr>
                <w:rFonts w:ascii="Cambria" w:hAnsi="Cambria" w:cs="Calibri"/>
                <w:sz w:val="18"/>
                <w:szCs w:val="18"/>
              </w:rPr>
              <w:t>2.323,41</w:t>
            </w:r>
          </w:p>
        </w:tc>
        <w:tc>
          <w:tcPr>
            <w:tcW w:w="1162" w:type="dxa"/>
            <w:tcBorders>
              <w:top w:val="nil"/>
              <w:left w:val="nil"/>
              <w:bottom w:val="nil"/>
              <w:right w:val="nil"/>
            </w:tcBorders>
            <w:shd w:val="clear" w:color="auto" w:fill="auto"/>
            <w:vAlign w:val="center"/>
            <w:hideMark/>
          </w:tcPr>
          <w:p w:rsidR="00E44FAC" w:rsidRPr="00E44FAC" w:rsidRDefault="00E44FAC" w:rsidP="00E44FAC">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2.323,41</w:t>
            </w:r>
          </w:p>
        </w:tc>
      </w:tr>
      <w:tr w:rsidR="00E44FAC" w:rsidRPr="00E44FAC" w:rsidTr="00205A13">
        <w:trPr>
          <w:trHeight w:val="300"/>
          <w:jc w:val="center"/>
        </w:trPr>
        <w:tc>
          <w:tcPr>
            <w:tcW w:w="2215" w:type="dxa"/>
            <w:tcBorders>
              <w:top w:val="nil"/>
              <w:left w:val="nil"/>
              <w:bottom w:val="nil"/>
              <w:right w:val="nil"/>
            </w:tcBorders>
            <w:shd w:val="clear" w:color="auto" w:fill="auto"/>
            <w:noWrap/>
            <w:vAlign w:val="center"/>
            <w:hideMark/>
          </w:tcPr>
          <w:p w:rsidR="00E44FAC" w:rsidRPr="00E44FAC" w:rsidRDefault="00E44FAC" w:rsidP="00E44FAC">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Aplicaciones informáticas</w:t>
            </w:r>
          </w:p>
        </w:tc>
        <w:tc>
          <w:tcPr>
            <w:tcW w:w="969" w:type="dxa"/>
            <w:tcBorders>
              <w:top w:val="nil"/>
              <w:left w:val="nil"/>
              <w:bottom w:val="nil"/>
              <w:right w:val="nil"/>
            </w:tcBorders>
            <w:shd w:val="clear" w:color="auto" w:fill="auto"/>
            <w:vAlign w:val="center"/>
            <w:hideMark/>
          </w:tcPr>
          <w:p w:rsidR="00E44FAC" w:rsidRPr="00E44FAC" w:rsidRDefault="00E44FAC" w:rsidP="00E44FAC">
            <w:pPr>
              <w:widowControl/>
              <w:autoSpaceDE/>
              <w:autoSpaceDN/>
              <w:adjustRightInd/>
              <w:jc w:val="right"/>
              <w:rPr>
                <w:rFonts w:ascii="Cambria" w:hAnsi="Cambria" w:cs="Calibri"/>
                <w:sz w:val="18"/>
                <w:szCs w:val="18"/>
              </w:rPr>
            </w:pPr>
            <w:r w:rsidRPr="00E44FAC">
              <w:rPr>
                <w:rFonts w:ascii="Cambria" w:hAnsi="Cambria" w:cs="Calibri"/>
                <w:sz w:val="18"/>
                <w:szCs w:val="18"/>
              </w:rPr>
              <w:t>4.331,35</w:t>
            </w:r>
          </w:p>
        </w:tc>
        <w:tc>
          <w:tcPr>
            <w:tcW w:w="1162" w:type="dxa"/>
            <w:tcBorders>
              <w:top w:val="nil"/>
              <w:left w:val="nil"/>
              <w:bottom w:val="nil"/>
              <w:right w:val="nil"/>
            </w:tcBorders>
            <w:shd w:val="clear" w:color="auto" w:fill="auto"/>
            <w:vAlign w:val="center"/>
            <w:hideMark/>
          </w:tcPr>
          <w:p w:rsidR="00E44FAC" w:rsidRPr="00E44FAC" w:rsidRDefault="00E44FAC" w:rsidP="00E44FAC">
            <w:pPr>
              <w:widowControl/>
              <w:autoSpaceDE/>
              <w:autoSpaceDN/>
              <w:adjustRightInd/>
              <w:jc w:val="right"/>
              <w:rPr>
                <w:rFonts w:ascii="Cambria" w:hAnsi="Cambria" w:cs="Calibri"/>
                <w:sz w:val="18"/>
                <w:szCs w:val="18"/>
              </w:rPr>
            </w:pPr>
            <w:r w:rsidRPr="00E44FAC">
              <w:rPr>
                <w:rFonts w:ascii="Cambria" w:hAnsi="Cambria" w:cs="Calibri"/>
                <w:sz w:val="18"/>
                <w:szCs w:val="18"/>
              </w:rPr>
              <w:t>4.331,35</w:t>
            </w:r>
          </w:p>
        </w:tc>
      </w:tr>
      <w:tr w:rsidR="00E44FAC" w:rsidRPr="00E44FAC" w:rsidTr="00205A13">
        <w:trPr>
          <w:trHeight w:val="300"/>
          <w:jc w:val="center"/>
        </w:trPr>
        <w:tc>
          <w:tcPr>
            <w:tcW w:w="2215" w:type="dxa"/>
            <w:tcBorders>
              <w:top w:val="single" w:sz="4" w:space="0" w:color="auto"/>
              <w:left w:val="nil"/>
              <w:bottom w:val="single" w:sz="4" w:space="0" w:color="auto"/>
              <w:right w:val="nil"/>
            </w:tcBorders>
            <w:shd w:val="clear" w:color="000000" w:fill="F2F2F2"/>
            <w:noWrap/>
            <w:vAlign w:val="center"/>
            <w:hideMark/>
          </w:tcPr>
          <w:p w:rsidR="00E44FAC" w:rsidRPr="00E44FAC" w:rsidRDefault="00E44FAC" w:rsidP="00E44FAC">
            <w:pPr>
              <w:widowControl/>
              <w:autoSpaceDE/>
              <w:autoSpaceDN/>
              <w:adjustRightInd/>
              <w:rPr>
                <w:rFonts w:ascii="Cambria" w:hAnsi="Cambria" w:cs="Calibri"/>
                <w:b/>
                <w:bCs/>
                <w:color w:val="000000"/>
                <w:sz w:val="18"/>
                <w:szCs w:val="18"/>
              </w:rPr>
            </w:pPr>
            <w:r w:rsidRPr="00E44FAC">
              <w:rPr>
                <w:rFonts w:ascii="Cambria" w:hAnsi="Cambria" w:cs="Calibri"/>
                <w:b/>
                <w:bCs/>
                <w:color w:val="000000"/>
                <w:sz w:val="18"/>
                <w:szCs w:val="18"/>
              </w:rPr>
              <w:t>T O T A L</w:t>
            </w:r>
          </w:p>
        </w:tc>
        <w:tc>
          <w:tcPr>
            <w:tcW w:w="969" w:type="dxa"/>
            <w:tcBorders>
              <w:top w:val="single" w:sz="4" w:space="0" w:color="auto"/>
              <w:left w:val="nil"/>
              <w:bottom w:val="single" w:sz="4" w:space="0" w:color="auto"/>
              <w:right w:val="nil"/>
            </w:tcBorders>
            <w:shd w:val="clear" w:color="000000" w:fill="F2F2F2"/>
            <w:vAlign w:val="center"/>
            <w:hideMark/>
          </w:tcPr>
          <w:p w:rsidR="00E44FAC" w:rsidRPr="00E44FAC" w:rsidRDefault="00E44FAC" w:rsidP="00E44FAC">
            <w:pPr>
              <w:widowControl/>
              <w:autoSpaceDE/>
              <w:autoSpaceDN/>
              <w:adjustRightInd/>
              <w:jc w:val="right"/>
              <w:rPr>
                <w:rFonts w:ascii="Cambria" w:hAnsi="Cambria" w:cs="Calibri"/>
                <w:b/>
                <w:bCs/>
                <w:color w:val="000000"/>
                <w:sz w:val="18"/>
                <w:szCs w:val="18"/>
              </w:rPr>
            </w:pPr>
            <w:r w:rsidRPr="00E44FAC">
              <w:rPr>
                <w:rFonts w:ascii="Cambria" w:hAnsi="Cambria" w:cs="Calibri"/>
                <w:b/>
                <w:bCs/>
                <w:color w:val="000000"/>
                <w:sz w:val="18"/>
                <w:szCs w:val="18"/>
              </w:rPr>
              <w:t>6.654,76</w:t>
            </w:r>
          </w:p>
        </w:tc>
        <w:tc>
          <w:tcPr>
            <w:tcW w:w="1162" w:type="dxa"/>
            <w:tcBorders>
              <w:top w:val="single" w:sz="4" w:space="0" w:color="auto"/>
              <w:left w:val="nil"/>
              <w:bottom w:val="single" w:sz="4" w:space="0" w:color="auto"/>
              <w:right w:val="nil"/>
            </w:tcBorders>
            <w:shd w:val="clear" w:color="000000" w:fill="F2F2F2"/>
            <w:vAlign w:val="center"/>
            <w:hideMark/>
          </w:tcPr>
          <w:p w:rsidR="00E44FAC" w:rsidRPr="00E44FAC" w:rsidRDefault="00E44FAC" w:rsidP="00E44FAC">
            <w:pPr>
              <w:widowControl/>
              <w:autoSpaceDE/>
              <w:autoSpaceDN/>
              <w:adjustRightInd/>
              <w:jc w:val="right"/>
              <w:rPr>
                <w:rFonts w:ascii="Cambria" w:hAnsi="Cambria" w:cs="Calibri"/>
                <w:b/>
                <w:bCs/>
                <w:color w:val="000000"/>
                <w:sz w:val="18"/>
                <w:szCs w:val="18"/>
              </w:rPr>
            </w:pPr>
            <w:r w:rsidRPr="00E44FAC">
              <w:rPr>
                <w:rFonts w:ascii="Cambria" w:hAnsi="Cambria" w:cs="Calibri"/>
                <w:b/>
                <w:bCs/>
                <w:color w:val="000000"/>
                <w:sz w:val="18"/>
                <w:szCs w:val="18"/>
              </w:rPr>
              <w:t>6.654,76</w:t>
            </w:r>
          </w:p>
        </w:tc>
      </w:tr>
    </w:tbl>
    <w:p w:rsidR="00400D00" w:rsidRDefault="00400D00" w:rsidP="00E44FAC">
      <w:pPr>
        <w:pStyle w:val="Textoindependiente"/>
        <w:spacing w:before="166" w:line="276" w:lineRule="auto"/>
        <w:ind w:right="108" w:firstLine="709"/>
        <w:rPr>
          <w:rFonts w:ascii="Times New Roman" w:hAnsi="Times New Roman"/>
          <w:spacing w:val="-2"/>
          <w:sz w:val="22"/>
          <w:szCs w:val="22"/>
          <w:lang w:val="es-ES_tradnl" w:eastAsia="es-ES_tradnl"/>
        </w:rPr>
      </w:pPr>
    </w:p>
    <w:p w:rsidR="000576A2" w:rsidRDefault="000576A2" w:rsidP="000576A2">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r>
        <w:rPr>
          <w:rFonts w:ascii="Times New Roman" w:hAnsi="Times New Roman" w:cs="Times New Roman"/>
          <w:b/>
          <w:bCs/>
          <w:spacing w:val="-3"/>
          <w:sz w:val="22"/>
          <w:szCs w:val="22"/>
          <w:lang w:val="es-ES_tradnl" w:eastAsia="es-ES_tradnl"/>
        </w:rPr>
        <w:t>6</w:t>
      </w:r>
      <w:r w:rsidRPr="006E07AE">
        <w:rPr>
          <w:rFonts w:ascii="Times New Roman" w:hAnsi="Times New Roman" w:cs="Times New Roman"/>
          <w:b/>
          <w:bCs/>
          <w:spacing w:val="-3"/>
          <w:sz w:val="22"/>
          <w:szCs w:val="22"/>
          <w:lang w:val="es-ES_tradnl" w:eastAsia="es-ES_tradnl"/>
        </w:rPr>
        <w:t xml:space="preserve">. </w:t>
      </w:r>
      <w:r w:rsidRPr="006E07AE">
        <w:rPr>
          <w:rFonts w:ascii="Times New Roman" w:hAnsi="Times New Roman" w:cs="Times New Roman"/>
          <w:b/>
          <w:bCs/>
          <w:spacing w:val="-3"/>
          <w:sz w:val="22"/>
          <w:szCs w:val="22"/>
          <w:u w:val="double"/>
          <w:lang w:val="es-ES_tradnl" w:eastAsia="es-ES_tradnl"/>
        </w:rPr>
        <w:t xml:space="preserve">INMOVILIZADO </w:t>
      </w:r>
      <w:r>
        <w:rPr>
          <w:rFonts w:ascii="Times New Roman" w:hAnsi="Times New Roman" w:cs="Times New Roman"/>
          <w:b/>
          <w:bCs/>
          <w:spacing w:val="-3"/>
          <w:sz w:val="22"/>
          <w:szCs w:val="22"/>
          <w:u w:val="double"/>
          <w:lang w:val="es-ES_tradnl" w:eastAsia="es-ES_tradnl"/>
        </w:rPr>
        <w:t xml:space="preserve">MATERIAL </w:t>
      </w:r>
    </w:p>
    <w:p w:rsidR="00A132A5" w:rsidRPr="00A132A5" w:rsidRDefault="00A132A5" w:rsidP="00A132A5">
      <w:pPr>
        <w:pStyle w:val="Textoindependiente"/>
        <w:spacing w:before="166" w:after="240" w:line="276" w:lineRule="auto"/>
        <w:ind w:left="709" w:right="108"/>
        <w:rPr>
          <w:rFonts w:ascii="Times New Roman" w:hAnsi="Times New Roman"/>
          <w:spacing w:val="-2"/>
          <w:sz w:val="22"/>
          <w:szCs w:val="22"/>
          <w:lang w:val="es-ES_tradnl" w:eastAsia="es-ES_tradnl"/>
        </w:rPr>
      </w:pPr>
      <w:r w:rsidRPr="00A132A5">
        <w:rPr>
          <w:rFonts w:ascii="Times New Roman" w:hAnsi="Times New Roman"/>
          <w:spacing w:val="-2"/>
          <w:sz w:val="22"/>
          <w:szCs w:val="22"/>
          <w:lang w:val="es-ES_tradnl" w:eastAsia="es-ES_tradnl"/>
        </w:rPr>
        <w:t>Las partidas que componen el inmovilizado material de la Sociedad, así como el movimiento de  cada una de estas partidas se puede observar en el cuadro siguiente:</w:t>
      </w:r>
    </w:p>
    <w:p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A132A5">
        <w:rPr>
          <w:rFonts w:ascii="Times New Roman" w:hAnsi="Times New Roman" w:cs="Times New Roman"/>
          <w:b/>
          <w:color w:val="auto"/>
          <w:spacing w:val="-1"/>
          <w:sz w:val="22"/>
          <w:szCs w:val="22"/>
          <w:u w:val="single"/>
          <w:lang w:val="es-ES_tradnl" w:eastAsia="es-ES_tradnl"/>
        </w:rPr>
        <w:t xml:space="preserve">Ejercicio </w:t>
      </w:r>
      <w:r>
        <w:rPr>
          <w:rFonts w:ascii="Times New Roman" w:hAnsi="Times New Roman" w:cs="Times New Roman"/>
          <w:b/>
          <w:color w:val="auto"/>
          <w:spacing w:val="-1"/>
          <w:sz w:val="22"/>
          <w:szCs w:val="22"/>
          <w:u w:val="single"/>
          <w:lang w:val="es-ES_tradnl" w:eastAsia="es-ES_tradnl"/>
        </w:rPr>
        <w:t>2020</w:t>
      </w:r>
    </w:p>
    <w:p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p>
    <w:tbl>
      <w:tblPr>
        <w:tblW w:w="7046" w:type="dxa"/>
        <w:jc w:val="center"/>
        <w:tblInd w:w="70" w:type="dxa"/>
        <w:tblCellMar>
          <w:left w:w="70" w:type="dxa"/>
          <w:right w:w="70" w:type="dxa"/>
        </w:tblCellMar>
        <w:tblLook w:val="04A0"/>
      </w:tblPr>
      <w:tblGrid>
        <w:gridCol w:w="2413"/>
        <w:gridCol w:w="1380"/>
        <w:gridCol w:w="1180"/>
        <w:gridCol w:w="693"/>
        <w:gridCol w:w="1380"/>
      </w:tblGrid>
      <w:tr w:rsidR="00A132A5" w:rsidRPr="00A132A5" w:rsidTr="00A132A5">
        <w:trPr>
          <w:trHeight w:val="315"/>
          <w:jc w:val="center"/>
        </w:trPr>
        <w:tc>
          <w:tcPr>
            <w:tcW w:w="2413"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c>
          <w:tcPr>
            <w:tcW w:w="1380"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Saldo inicial</w:t>
            </w:r>
          </w:p>
        </w:tc>
        <w:tc>
          <w:tcPr>
            <w:tcW w:w="1180"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Altas</w:t>
            </w:r>
          </w:p>
        </w:tc>
        <w:tc>
          <w:tcPr>
            <w:tcW w:w="693"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Bajas</w:t>
            </w:r>
          </w:p>
        </w:tc>
        <w:tc>
          <w:tcPr>
            <w:tcW w:w="1380"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Saldo final</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Terrenos y bienes naturales</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5.084.032,69</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5.084.032,69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Construcciones</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11.518.899,59</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11.518.899,59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Maquinaria</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39.235,47</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39.235,47</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Otras instalaciones</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28.091,79</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28.091,79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Mobiliario</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285.123,51</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9.875,20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294.998,71</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Equipo proceso información</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138.612,82</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8.541,00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147.153,82</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Elementos de transporte</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41.557,00</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41.557,00</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Otro inmovilizado</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368.268,33</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5.800,00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374.068,33</w:t>
            </w:r>
          </w:p>
        </w:tc>
      </w:tr>
      <w:tr w:rsidR="00A132A5" w:rsidRPr="00A132A5" w:rsidTr="00A132A5">
        <w:trPr>
          <w:trHeight w:val="300"/>
          <w:jc w:val="center"/>
        </w:trPr>
        <w:tc>
          <w:tcPr>
            <w:tcW w:w="2413"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T O T A L</w:t>
            </w:r>
          </w:p>
        </w:tc>
        <w:tc>
          <w:tcPr>
            <w:tcW w:w="1380"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17.503.821,20</w:t>
            </w:r>
          </w:p>
        </w:tc>
        <w:tc>
          <w:tcPr>
            <w:tcW w:w="1180"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24.216,20</w:t>
            </w:r>
          </w:p>
        </w:tc>
        <w:tc>
          <w:tcPr>
            <w:tcW w:w="693"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0,00</w:t>
            </w:r>
          </w:p>
        </w:tc>
        <w:tc>
          <w:tcPr>
            <w:tcW w:w="1380"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17.528.037,40</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Amortizaciones:</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libri" w:hAnsi="Calibri" w:cs="Calibri"/>
                <w:color w:val="000000"/>
                <w:sz w:val="22"/>
                <w:szCs w:val="22"/>
              </w:rPr>
            </w:pP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libri" w:hAnsi="Calibri" w:cs="Calibri"/>
                <w:color w:val="000000"/>
                <w:sz w:val="22"/>
                <w:szCs w:val="22"/>
              </w:rPr>
            </w:pP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libri" w:hAnsi="Calibri" w:cs="Calibri"/>
                <w:color w:val="000000"/>
                <w:sz w:val="22"/>
                <w:szCs w:val="22"/>
              </w:rPr>
            </w:pP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libri" w:hAnsi="Calibri" w:cs="Calibri"/>
                <w:color w:val="000000"/>
                <w:sz w:val="22"/>
                <w:szCs w:val="22"/>
              </w:rPr>
            </w:pP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Construcciones</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875.607,64</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115.215,76</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990.823,40</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Maquinaria</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33.660,57</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2.514,38</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36.174,95</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Otras instalaciones</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10.134,12</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1.098,79</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11.232,91</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Mobiliario</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213.001,88</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19.591,80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232.593,68</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Equipo proceso información</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132.383,87</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4.300,02</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136.683,89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Elementos de transporte</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40.005,00</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40.005,00</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Otro inmovilizado</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340.134,08</w:t>
            </w:r>
          </w:p>
        </w:tc>
        <w:tc>
          <w:tcPr>
            <w:tcW w:w="11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3.775,51</w:t>
            </w:r>
          </w:p>
        </w:tc>
        <w:tc>
          <w:tcPr>
            <w:tcW w:w="69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343.909,59</w:t>
            </w:r>
          </w:p>
        </w:tc>
      </w:tr>
      <w:tr w:rsidR="00A132A5" w:rsidRPr="00A132A5" w:rsidTr="00A132A5">
        <w:trPr>
          <w:trHeight w:val="315"/>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T O T A L</w:t>
            </w:r>
          </w:p>
        </w:tc>
        <w:tc>
          <w:tcPr>
            <w:tcW w:w="1380"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1.644.927,16</w:t>
            </w:r>
          </w:p>
        </w:tc>
        <w:tc>
          <w:tcPr>
            <w:tcW w:w="1180"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146.496,26</w:t>
            </w:r>
          </w:p>
        </w:tc>
        <w:tc>
          <w:tcPr>
            <w:tcW w:w="693"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0,00</w:t>
            </w:r>
          </w:p>
        </w:tc>
        <w:tc>
          <w:tcPr>
            <w:tcW w:w="1380" w:type="dxa"/>
            <w:tcBorders>
              <w:top w:val="nil"/>
              <w:left w:val="nil"/>
              <w:bottom w:val="nil"/>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1.791.423,42</w:t>
            </w:r>
          </w:p>
        </w:tc>
      </w:tr>
      <w:tr w:rsidR="00A132A5" w:rsidRPr="00A132A5" w:rsidTr="00A132A5">
        <w:trPr>
          <w:trHeight w:val="315"/>
          <w:jc w:val="center"/>
        </w:trPr>
        <w:tc>
          <w:tcPr>
            <w:tcW w:w="2413"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xml:space="preserve">VALOR NETO CONTABLE </w:t>
            </w:r>
          </w:p>
        </w:tc>
        <w:tc>
          <w:tcPr>
            <w:tcW w:w="1380"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15.858.894,04</w:t>
            </w:r>
          </w:p>
        </w:tc>
        <w:tc>
          <w:tcPr>
            <w:tcW w:w="1180"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 </w:t>
            </w:r>
          </w:p>
        </w:tc>
        <w:tc>
          <w:tcPr>
            <w:tcW w:w="693"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 </w:t>
            </w:r>
          </w:p>
        </w:tc>
        <w:tc>
          <w:tcPr>
            <w:tcW w:w="1380" w:type="dxa"/>
            <w:tcBorders>
              <w:top w:val="single" w:sz="8" w:space="0" w:color="auto"/>
              <w:left w:val="nil"/>
              <w:bottom w:val="single" w:sz="8" w:space="0" w:color="auto"/>
              <w:right w:val="nil"/>
            </w:tcBorders>
            <w:shd w:val="clear" w:color="000000" w:fill="F2F2F2"/>
            <w:vAlign w:val="bottom"/>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15.736.613,98</w:t>
            </w:r>
          </w:p>
        </w:tc>
      </w:tr>
    </w:tbl>
    <w:p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p>
    <w:p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p>
    <w:p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A132A5">
        <w:rPr>
          <w:rFonts w:ascii="Times New Roman" w:hAnsi="Times New Roman" w:cs="Times New Roman"/>
          <w:b/>
          <w:color w:val="auto"/>
          <w:spacing w:val="-1"/>
          <w:sz w:val="22"/>
          <w:szCs w:val="22"/>
          <w:u w:val="single"/>
          <w:lang w:val="es-ES_tradnl" w:eastAsia="es-ES_tradnl"/>
        </w:rPr>
        <w:t xml:space="preserve">Ejercicio </w:t>
      </w:r>
      <w:r>
        <w:rPr>
          <w:rFonts w:ascii="Times New Roman" w:hAnsi="Times New Roman" w:cs="Times New Roman"/>
          <w:b/>
          <w:color w:val="auto"/>
          <w:spacing w:val="-1"/>
          <w:sz w:val="22"/>
          <w:szCs w:val="22"/>
          <w:u w:val="single"/>
          <w:lang w:val="es-ES_tradnl" w:eastAsia="es-ES_tradnl"/>
        </w:rPr>
        <w:t>2019</w:t>
      </w:r>
    </w:p>
    <w:p w:rsidR="00A132A5" w:rsidRP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p>
    <w:tbl>
      <w:tblPr>
        <w:tblW w:w="7235" w:type="dxa"/>
        <w:jc w:val="center"/>
        <w:tblInd w:w="70" w:type="dxa"/>
        <w:tblCellMar>
          <w:left w:w="70" w:type="dxa"/>
          <w:right w:w="70" w:type="dxa"/>
        </w:tblCellMar>
        <w:tblLook w:val="04A0"/>
      </w:tblPr>
      <w:tblGrid>
        <w:gridCol w:w="2413"/>
        <w:gridCol w:w="1380"/>
        <w:gridCol w:w="1180"/>
        <w:gridCol w:w="882"/>
        <w:gridCol w:w="1380"/>
      </w:tblGrid>
      <w:tr w:rsidR="00A132A5" w:rsidRPr="00A132A5" w:rsidTr="00A132A5">
        <w:trPr>
          <w:trHeight w:val="300"/>
          <w:jc w:val="center"/>
        </w:trPr>
        <w:tc>
          <w:tcPr>
            <w:tcW w:w="2413"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w:t>
            </w:r>
          </w:p>
        </w:tc>
        <w:tc>
          <w:tcPr>
            <w:tcW w:w="138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Saldo inicial</w:t>
            </w:r>
          </w:p>
        </w:tc>
        <w:tc>
          <w:tcPr>
            <w:tcW w:w="118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Altas</w:t>
            </w:r>
          </w:p>
        </w:tc>
        <w:tc>
          <w:tcPr>
            <w:tcW w:w="882"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Bajas</w:t>
            </w:r>
          </w:p>
        </w:tc>
        <w:tc>
          <w:tcPr>
            <w:tcW w:w="138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center"/>
              <w:rPr>
                <w:rFonts w:ascii="Cambria" w:hAnsi="Cambria" w:cs="Calibri"/>
                <w:b/>
                <w:bCs/>
                <w:color w:val="000000"/>
                <w:sz w:val="18"/>
                <w:szCs w:val="18"/>
              </w:rPr>
            </w:pPr>
            <w:r w:rsidRPr="00A132A5">
              <w:rPr>
                <w:rFonts w:ascii="Cambria" w:hAnsi="Cambria" w:cs="Calibri"/>
                <w:b/>
                <w:bCs/>
                <w:color w:val="000000"/>
                <w:sz w:val="18"/>
                <w:szCs w:val="18"/>
              </w:rPr>
              <w:t>Saldo final</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Terrenos y bienes naturales</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5.084.032,69</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5.084.032,69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Construcciones</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11.518.899,59</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11.518.899,59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Maquinaria</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39.235,47</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39.235,47</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Otras instalaciones</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28.091,79</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28.091,79</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Mobiliario</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285.538,09</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-414,58</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285.123,51</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Equipo proceso información</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137.387,82</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1.225,00</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138.612,82</w:t>
            </w:r>
          </w:p>
        </w:tc>
      </w:tr>
      <w:tr w:rsidR="00A132A5" w:rsidRPr="00A132A5" w:rsidTr="00A132A5">
        <w:trPr>
          <w:trHeight w:val="42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Elementos de transporte</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40.005,00</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1.552,00</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41.557,00</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Otro inmovilizado</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368.268,33</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368.268,33</w:t>
            </w:r>
          </w:p>
        </w:tc>
      </w:tr>
      <w:tr w:rsidR="00A132A5" w:rsidRPr="00A132A5" w:rsidTr="00A132A5">
        <w:trPr>
          <w:trHeight w:val="300"/>
          <w:jc w:val="center"/>
        </w:trPr>
        <w:tc>
          <w:tcPr>
            <w:tcW w:w="2413"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T O T A L</w:t>
            </w:r>
          </w:p>
        </w:tc>
        <w:tc>
          <w:tcPr>
            <w:tcW w:w="138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17.501.458,78</w:t>
            </w:r>
          </w:p>
        </w:tc>
        <w:tc>
          <w:tcPr>
            <w:tcW w:w="1180"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2.777,00</w:t>
            </w:r>
          </w:p>
        </w:tc>
        <w:tc>
          <w:tcPr>
            <w:tcW w:w="882" w:type="dxa"/>
            <w:tcBorders>
              <w:top w:val="nil"/>
              <w:left w:val="nil"/>
              <w:bottom w:val="nil"/>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-414,58</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17.503.821,20</w:t>
            </w:r>
          </w:p>
        </w:tc>
      </w:tr>
      <w:tr w:rsidR="00A132A5" w:rsidRPr="00A132A5" w:rsidTr="00A132A5">
        <w:trPr>
          <w:trHeight w:val="300"/>
          <w:jc w:val="center"/>
        </w:trPr>
        <w:tc>
          <w:tcPr>
            <w:tcW w:w="2413"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Amortizaciones:</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Construcciones</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760.418,61</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115.189,03</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875.607,64</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Maquinaria</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30.927,37</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2.733,20</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33.660,57</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Otras instalaciones</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9.035,66</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1.098,46</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10.134,12</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Mobiliario</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192.799,88</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20.202,00</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213.001,88</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Equipo proceso información</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129.673,21</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2.710,66</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132.383,87</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Elementos de transporte</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39.508,36</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496,64</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40.005,00</w:t>
            </w:r>
          </w:p>
        </w:tc>
      </w:tr>
      <w:tr w:rsidR="00A132A5" w:rsidRPr="00A132A5" w:rsidTr="00A132A5">
        <w:trPr>
          <w:trHeight w:val="300"/>
          <w:jc w:val="center"/>
        </w:trPr>
        <w:tc>
          <w:tcPr>
            <w:tcW w:w="2413" w:type="dxa"/>
            <w:tcBorders>
              <w:top w:val="nil"/>
              <w:left w:val="nil"/>
              <w:bottom w:val="nil"/>
              <w:right w:val="nil"/>
            </w:tcBorders>
            <w:shd w:val="clear" w:color="auto" w:fill="auto"/>
            <w:vAlign w:val="bottom"/>
            <w:hideMark/>
          </w:tcPr>
          <w:p w:rsidR="00A132A5" w:rsidRPr="00A132A5" w:rsidRDefault="00A132A5" w:rsidP="00A132A5">
            <w:pPr>
              <w:widowControl/>
              <w:autoSpaceDE/>
              <w:autoSpaceDN/>
              <w:adjustRightInd/>
              <w:rPr>
                <w:rFonts w:ascii="Cambria" w:hAnsi="Cambria" w:cs="Calibri"/>
                <w:color w:val="000000"/>
                <w:sz w:val="18"/>
                <w:szCs w:val="18"/>
              </w:rPr>
            </w:pPr>
            <w:r w:rsidRPr="00A132A5">
              <w:rPr>
                <w:rFonts w:ascii="Cambria" w:hAnsi="Cambria" w:cs="Calibri"/>
                <w:color w:val="000000"/>
                <w:sz w:val="18"/>
                <w:szCs w:val="18"/>
              </w:rPr>
              <w:t>Otro inmovilizado</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336.474,27</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3.659,81</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color w:val="000000"/>
                <w:sz w:val="18"/>
                <w:szCs w:val="18"/>
              </w:rPr>
            </w:pPr>
            <w:r w:rsidRPr="00A132A5">
              <w:rPr>
                <w:rFonts w:ascii="Cambria" w:hAnsi="Cambria" w:cs="Calibri"/>
                <w:color w:val="000000"/>
                <w:sz w:val="18"/>
                <w:szCs w:val="18"/>
              </w:rPr>
              <w:t>340.134,08</w:t>
            </w:r>
          </w:p>
        </w:tc>
      </w:tr>
      <w:tr w:rsidR="00A132A5" w:rsidRPr="00A132A5" w:rsidTr="00A132A5">
        <w:trPr>
          <w:trHeight w:val="300"/>
          <w:jc w:val="center"/>
        </w:trPr>
        <w:tc>
          <w:tcPr>
            <w:tcW w:w="2413"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T O T A L</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1.498.837,36</w:t>
            </w:r>
          </w:p>
        </w:tc>
        <w:tc>
          <w:tcPr>
            <w:tcW w:w="11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146.089,80</w:t>
            </w:r>
          </w:p>
        </w:tc>
        <w:tc>
          <w:tcPr>
            <w:tcW w:w="882"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0,00</w:t>
            </w:r>
          </w:p>
        </w:tc>
        <w:tc>
          <w:tcPr>
            <w:tcW w:w="1380" w:type="dxa"/>
            <w:tcBorders>
              <w:top w:val="nil"/>
              <w:left w:val="nil"/>
              <w:bottom w:val="nil"/>
              <w:right w:val="nil"/>
            </w:tcBorders>
            <w:shd w:val="clear" w:color="auto" w:fill="auto"/>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1.644.927,16</w:t>
            </w:r>
          </w:p>
        </w:tc>
      </w:tr>
      <w:tr w:rsidR="00A132A5" w:rsidRPr="00A132A5" w:rsidTr="00A132A5">
        <w:trPr>
          <w:trHeight w:val="300"/>
          <w:jc w:val="center"/>
        </w:trPr>
        <w:tc>
          <w:tcPr>
            <w:tcW w:w="2413"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rPr>
                <w:rFonts w:ascii="Cambria" w:hAnsi="Cambria" w:cs="Calibri"/>
                <w:b/>
                <w:bCs/>
                <w:color w:val="000000"/>
                <w:sz w:val="18"/>
                <w:szCs w:val="18"/>
              </w:rPr>
            </w:pPr>
            <w:r w:rsidRPr="00A132A5">
              <w:rPr>
                <w:rFonts w:ascii="Cambria" w:hAnsi="Cambria" w:cs="Calibri"/>
                <w:b/>
                <w:bCs/>
                <w:color w:val="000000"/>
                <w:sz w:val="18"/>
                <w:szCs w:val="18"/>
              </w:rPr>
              <w:t xml:space="preserve">VALOR NETO CONTABLE </w:t>
            </w:r>
          </w:p>
        </w:tc>
        <w:tc>
          <w:tcPr>
            <w:tcW w:w="138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16.002.621,42</w:t>
            </w:r>
          </w:p>
        </w:tc>
        <w:tc>
          <w:tcPr>
            <w:tcW w:w="118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 </w:t>
            </w:r>
          </w:p>
        </w:tc>
        <w:tc>
          <w:tcPr>
            <w:tcW w:w="882"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 </w:t>
            </w:r>
          </w:p>
        </w:tc>
        <w:tc>
          <w:tcPr>
            <w:tcW w:w="1380" w:type="dxa"/>
            <w:tcBorders>
              <w:top w:val="single" w:sz="4" w:space="0" w:color="auto"/>
              <w:left w:val="nil"/>
              <w:bottom w:val="single" w:sz="4" w:space="0" w:color="auto"/>
              <w:right w:val="nil"/>
            </w:tcBorders>
            <w:shd w:val="clear" w:color="000000" w:fill="F2F2F2"/>
            <w:vAlign w:val="center"/>
            <w:hideMark/>
          </w:tcPr>
          <w:p w:rsidR="00A132A5" w:rsidRPr="00A132A5" w:rsidRDefault="00A132A5" w:rsidP="00A132A5">
            <w:pPr>
              <w:widowControl/>
              <w:autoSpaceDE/>
              <w:autoSpaceDN/>
              <w:adjustRightInd/>
              <w:jc w:val="right"/>
              <w:rPr>
                <w:rFonts w:ascii="Cambria" w:hAnsi="Cambria" w:cs="Calibri"/>
                <w:b/>
                <w:bCs/>
                <w:color w:val="000000"/>
                <w:sz w:val="18"/>
                <w:szCs w:val="18"/>
              </w:rPr>
            </w:pPr>
            <w:r w:rsidRPr="00A132A5">
              <w:rPr>
                <w:rFonts w:ascii="Cambria" w:hAnsi="Cambria" w:cs="Calibri"/>
                <w:b/>
                <w:bCs/>
                <w:color w:val="000000"/>
                <w:sz w:val="18"/>
                <w:szCs w:val="18"/>
              </w:rPr>
              <w:t>15.858.894,04</w:t>
            </w:r>
          </w:p>
        </w:tc>
      </w:tr>
    </w:tbl>
    <w:p w:rsidR="0007387A" w:rsidRDefault="0007387A" w:rsidP="00A132A5">
      <w:pPr>
        <w:shd w:val="clear" w:color="auto" w:fill="FFFFFF"/>
        <w:ind w:left="709"/>
        <w:jc w:val="both"/>
        <w:rPr>
          <w:rFonts w:ascii="Times New Roman" w:hAnsi="Times New Roman" w:cs="Times New Roman"/>
          <w:b/>
          <w:sz w:val="22"/>
          <w:szCs w:val="22"/>
          <w:u w:val="single"/>
          <w:lang w:val="es-ES_tradnl" w:eastAsia="es-ES_tradnl"/>
        </w:rPr>
      </w:pPr>
    </w:p>
    <w:p w:rsidR="00A132A5" w:rsidRPr="00A132A5" w:rsidRDefault="00A132A5" w:rsidP="00A132A5">
      <w:pPr>
        <w:shd w:val="clear" w:color="auto" w:fill="FFFFFF"/>
        <w:ind w:left="709"/>
        <w:jc w:val="both"/>
        <w:rPr>
          <w:rFonts w:ascii="Times New Roman" w:hAnsi="Times New Roman" w:cs="Times New Roman"/>
          <w:b/>
          <w:sz w:val="22"/>
          <w:szCs w:val="22"/>
          <w:u w:val="single"/>
          <w:lang w:val="es-ES_tradnl" w:eastAsia="es-ES_tradnl"/>
        </w:rPr>
      </w:pPr>
      <w:r w:rsidRPr="00A132A5">
        <w:rPr>
          <w:rFonts w:ascii="Times New Roman" w:hAnsi="Times New Roman" w:cs="Times New Roman"/>
          <w:b/>
          <w:sz w:val="22"/>
          <w:szCs w:val="22"/>
          <w:u w:val="single"/>
          <w:lang w:val="es-ES_tradnl" w:eastAsia="es-ES_tradnl"/>
        </w:rPr>
        <w:t>Bienes totalmente amortizados</w:t>
      </w:r>
    </w:p>
    <w:p w:rsidR="000576A2" w:rsidRDefault="000576A2" w:rsidP="000576A2">
      <w:pPr>
        <w:pStyle w:val="Textoindependiente"/>
        <w:spacing w:before="166" w:line="276" w:lineRule="auto"/>
        <w:ind w:right="108" w:firstLine="709"/>
        <w:rPr>
          <w:rFonts w:ascii="Times New Roman" w:hAnsi="Times New Roman"/>
          <w:spacing w:val="-2"/>
          <w:sz w:val="22"/>
          <w:szCs w:val="22"/>
          <w:lang w:val="es-ES_tradnl" w:eastAsia="es-ES_tradnl"/>
        </w:rPr>
      </w:pPr>
      <w:r w:rsidRPr="00E44FAC">
        <w:rPr>
          <w:rFonts w:ascii="Times New Roman" w:hAnsi="Times New Roman"/>
          <w:spacing w:val="-2"/>
          <w:sz w:val="22"/>
          <w:szCs w:val="22"/>
          <w:lang w:val="es-ES_tradnl" w:eastAsia="es-ES_tradnl"/>
        </w:rPr>
        <w:t xml:space="preserve">El inmovilizado </w:t>
      </w:r>
      <w:r>
        <w:rPr>
          <w:rFonts w:ascii="Times New Roman" w:hAnsi="Times New Roman"/>
          <w:spacing w:val="-2"/>
          <w:sz w:val="22"/>
          <w:szCs w:val="22"/>
          <w:lang w:val="es-ES_tradnl" w:eastAsia="es-ES_tradnl"/>
        </w:rPr>
        <w:t>material</w:t>
      </w:r>
      <w:r w:rsidRPr="00E44FAC">
        <w:rPr>
          <w:rFonts w:ascii="Times New Roman" w:hAnsi="Times New Roman"/>
          <w:spacing w:val="-2"/>
          <w:sz w:val="22"/>
          <w:szCs w:val="22"/>
          <w:lang w:val="es-ES_tradnl" w:eastAsia="es-ES_tradnl"/>
        </w:rPr>
        <w:t xml:space="preserve"> totalmente amortizado, al cierre del ejercicio, presenta el siguiente desglose: </w:t>
      </w:r>
    </w:p>
    <w:tbl>
      <w:tblPr>
        <w:tblW w:w="5340" w:type="dxa"/>
        <w:jc w:val="center"/>
        <w:tblInd w:w="70" w:type="dxa"/>
        <w:tblCellMar>
          <w:left w:w="70" w:type="dxa"/>
          <w:right w:w="70" w:type="dxa"/>
        </w:tblCellMar>
        <w:tblLook w:val="04A0"/>
      </w:tblPr>
      <w:tblGrid>
        <w:gridCol w:w="2636"/>
        <w:gridCol w:w="1352"/>
        <w:gridCol w:w="1352"/>
      </w:tblGrid>
      <w:tr w:rsidR="000576A2" w:rsidRPr="00E44FAC" w:rsidTr="000576A2">
        <w:trPr>
          <w:trHeight w:val="300"/>
          <w:jc w:val="center"/>
        </w:trPr>
        <w:tc>
          <w:tcPr>
            <w:tcW w:w="2636" w:type="dxa"/>
            <w:tcBorders>
              <w:top w:val="single" w:sz="4" w:space="0" w:color="auto"/>
              <w:left w:val="nil"/>
              <w:bottom w:val="single" w:sz="4" w:space="0" w:color="auto"/>
              <w:right w:val="nil"/>
            </w:tcBorders>
            <w:shd w:val="clear" w:color="000000" w:fill="F2F2F2"/>
            <w:noWrap/>
            <w:vAlign w:val="center"/>
            <w:hideMark/>
          </w:tcPr>
          <w:p w:rsidR="000576A2" w:rsidRPr="00E44FAC" w:rsidRDefault="000576A2" w:rsidP="000576A2">
            <w:pPr>
              <w:widowControl/>
              <w:autoSpaceDE/>
              <w:autoSpaceDN/>
              <w:adjustRightInd/>
              <w:rPr>
                <w:rFonts w:ascii="Cambria" w:hAnsi="Cambria" w:cs="Calibri"/>
                <w:b/>
                <w:bCs/>
                <w:color w:val="000000"/>
                <w:sz w:val="18"/>
                <w:szCs w:val="18"/>
              </w:rPr>
            </w:pPr>
            <w:r w:rsidRPr="00E44FAC">
              <w:rPr>
                <w:rFonts w:ascii="Cambria" w:hAnsi="Cambria" w:cs="Calibri"/>
                <w:b/>
                <w:bCs/>
                <w:color w:val="000000"/>
                <w:sz w:val="18"/>
                <w:szCs w:val="18"/>
              </w:rPr>
              <w:t> </w:t>
            </w:r>
          </w:p>
        </w:tc>
        <w:tc>
          <w:tcPr>
            <w:tcW w:w="1352" w:type="dxa"/>
            <w:tcBorders>
              <w:top w:val="single" w:sz="4" w:space="0" w:color="auto"/>
              <w:left w:val="nil"/>
              <w:bottom w:val="single" w:sz="4" w:space="0" w:color="auto"/>
              <w:right w:val="nil"/>
            </w:tcBorders>
            <w:shd w:val="clear" w:color="000000" w:fill="F2F2F2"/>
            <w:vAlign w:val="center"/>
            <w:hideMark/>
          </w:tcPr>
          <w:p w:rsidR="000576A2" w:rsidRPr="00E44FAC" w:rsidRDefault="000576A2" w:rsidP="000576A2">
            <w:pPr>
              <w:widowControl/>
              <w:autoSpaceDE/>
              <w:autoSpaceDN/>
              <w:adjustRightInd/>
              <w:jc w:val="center"/>
              <w:rPr>
                <w:rFonts w:ascii="Cambria" w:hAnsi="Cambria" w:cs="Calibri"/>
                <w:b/>
                <w:bCs/>
                <w:color w:val="000000"/>
                <w:sz w:val="18"/>
                <w:szCs w:val="18"/>
              </w:rPr>
            </w:pPr>
            <w:r w:rsidRPr="00E44FAC">
              <w:rPr>
                <w:rFonts w:ascii="Cambria" w:hAnsi="Cambria" w:cs="Calibri"/>
                <w:b/>
                <w:bCs/>
                <w:color w:val="000000"/>
                <w:sz w:val="18"/>
                <w:szCs w:val="18"/>
              </w:rPr>
              <w:t>2020</w:t>
            </w:r>
          </w:p>
        </w:tc>
        <w:tc>
          <w:tcPr>
            <w:tcW w:w="1352" w:type="dxa"/>
            <w:tcBorders>
              <w:top w:val="single" w:sz="4" w:space="0" w:color="auto"/>
              <w:left w:val="nil"/>
              <w:bottom w:val="single" w:sz="4" w:space="0" w:color="auto"/>
              <w:right w:val="nil"/>
            </w:tcBorders>
            <w:shd w:val="clear" w:color="000000" w:fill="F2F2F2"/>
            <w:vAlign w:val="center"/>
            <w:hideMark/>
          </w:tcPr>
          <w:p w:rsidR="000576A2" w:rsidRPr="00E44FAC" w:rsidRDefault="000576A2" w:rsidP="000576A2">
            <w:pPr>
              <w:widowControl/>
              <w:autoSpaceDE/>
              <w:autoSpaceDN/>
              <w:adjustRightInd/>
              <w:jc w:val="center"/>
              <w:rPr>
                <w:rFonts w:ascii="Cambria" w:hAnsi="Cambria" w:cs="Calibri"/>
                <w:b/>
                <w:bCs/>
                <w:color w:val="000000"/>
                <w:sz w:val="18"/>
                <w:szCs w:val="18"/>
              </w:rPr>
            </w:pPr>
            <w:r w:rsidRPr="00E44FAC">
              <w:rPr>
                <w:rFonts w:ascii="Cambria" w:hAnsi="Cambria" w:cs="Calibri"/>
                <w:b/>
                <w:bCs/>
                <w:color w:val="000000"/>
                <w:sz w:val="18"/>
                <w:szCs w:val="18"/>
              </w:rPr>
              <w:t>2019</w:t>
            </w:r>
          </w:p>
        </w:tc>
      </w:tr>
      <w:tr w:rsidR="000576A2" w:rsidRPr="00E44FAC" w:rsidTr="000576A2">
        <w:trPr>
          <w:trHeight w:val="300"/>
          <w:jc w:val="center"/>
        </w:trPr>
        <w:tc>
          <w:tcPr>
            <w:tcW w:w="2636" w:type="dxa"/>
            <w:tcBorders>
              <w:top w:val="nil"/>
              <w:left w:val="nil"/>
              <w:bottom w:val="nil"/>
              <w:right w:val="nil"/>
            </w:tcBorders>
            <w:shd w:val="clear" w:color="auto" w:fill="auto"/>
            <w:noWrap/>
            <w:vAlign w:val="center"/>
            <w:hideMark/>
          </w:tcPr>
          <w:p w:rsidR="000576A2" w:rsidRPr="00E44FAC" w:rsidRDefault="000576A2" w:rsidP="000576A2">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Maquinaria</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sz w:val="18"/>
                <w:szCs w:val="18"/>
              </w:rPr>
            </w:pPr>
            <w:r w:rsidRPr="00E44FAC">
              <w:rPr>
                <w:rFonts w:ascii="Cambria" w:hAnsi="Cambria" w:cs="Calibri"/>
                <w:sz w:val="18"/>
                <w:szCs w:val="18"/>
              </w:rPr>
              <w:t>16.235,47</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16.021,61</w:t>
            </w:r>
          </w:p>
        </w:tc>
      </w:tr>
      <w:tr w:rsidR="000576A2" w:rsidRPr="00E44FAC" w:rsidTr="000576A2">
        <w:trPr>
          <w:trHeight w:val="300"/>
          <w:jc w:val="center"/>
        </w:trPr>
        <w:tc>
          <w:tcPr>
            <w:tcW w:w="2636" w:type="dxa"/>
            <w:tcBorders>
              <w:top w:val="nil"/>
              <w:left w:val="nil"/>
              <w:bottom w:val="nil"/>
              <w:right w:val="nil"/>
            </w:tcBorders>
            <w:shd w:val="clear" w:color="auto" w:fill="auto"/>
            <w:noWrap/>
            <w:vAlign w:val="center"/>
            <w:hideMark/>
          </w:tcPr>
          <w:p w:rsidR="000576A2" w:rsidRPr="00E44FAC" w:rsidRDefault="000576A2" w:rsidP="000576A2">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Otras instalaciones</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sz w:val="18"/>
                <w:szCs w:val="18"/>
              </w:rPr>
            </w:pPr>
            <w:r w:rsidRPr="00E44FAC">
              <w:rPr>
                <w:rFonts w:ascii="Cambria" w:hAnsi="Cambria" w:cs="Calibri"/>
                <w:sz w:val="18"/>
                <w:szCs w:val="18"/>
              </w:rPr>
              <w:t>5.900,45</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5.900,45</w:t>
            </w:r>
          </w:p>
        </w:tc>
      </w:tr>
      <w:tr w:rsidR="000576A2" w:rsidRPr="00E44FAC" w:rsidTr="000576A2">
        <w:trPr>
          <w:trHeight w:val="300"/>
          <w:jc w:val="center"/>
        </w:trPr>
        <w:tc>
          <w:tcPr>
            <w:tcW w:w="2636" w:type="dxa"/>
            <w:tcBorders>
              <w:top w:val="nil"/>
              <w:left w:val="nil"/>
              <w:bottom w:val="nil"/>
              <w:right w:val="nil"/>
            </w:tcBorders>
            <w:shd w:val="clear" w:color="auto" w:fill="auto"/>
            <w:noWrap/>
            <w:vAlign w:val="center"/>
            <w:hideMark/>
          </w:tcPr>
          <w:p w:rsidR="000576A2" w:rsidRPr="00E44FAC" w:rsidRDefault="000576A2" w:rsidP="000576A2">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Mobiliario</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sz w:val="18"/>
                <w:szCs w:val="18"/>
              </w:rPr>
            </w:pPr>
            <w:r w:rsidRPr="00E44FAC">
              <w:rPr>
                <w:rFonts w:ascii="Cambria" w:hAnsi="Cambria" w:cs="Calibri"/>
                <w:sz w:val="18"/>
                <w:szCs w:val="18"/>
              </w:rPr>
              <w:t>108.208,05</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106.491,86</w:t>
            </w:r>
          </w:p>
        </w:tc>
      </w:tr>
      <w:tr w:rsidR="000576A2" w:rsidRPr="00E44FAC" w:rsidTr="000576A2">
        <w:trPr>
          <w:trHeight w:val="300"/>
          <w:jc w:val="center"/>
        </w:trPr>
        <w:tc>
          <w:tcPr>
            <w:tcW w:w="2636" w:type="dxa"/>
            <w:tcBorders>
              <w:top w:val="nil"/>
              <w:left w:val="nil"/>
              <w:bottom w:val="nil"/>
              <w:right w:val="nil"/>
            </w:tcBorders>
            <w:shd w:val="clear" w:color="auto" w:fill="auto"/>
            <w:noWrap/>
            <w:vAlign w:val="center"/>
            <w:hideMark/>
          </w:tcPr>
          <w:p w:rsidR="000576A2" w:rsidRPr="00E44FAC" w:rsidRDefault="000576A2" w:rsidP="000576A2">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Equipos proceso de información</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sz w:val="18"/>
                <w:szCs w:val="18"/>
              </w:rPr>
            </w:pPr>
            <w:r w:rsidRPr="00E44FAC">
              <w:rPr>
                <w:rFonts w:ascii="Cambria" w:hAnsi="Cambria" w:cs="Calibri"/>
                <w:sz w:val="18"/>
                <w:szCs w:val="18"/>
              </w:rPr>
              <w:t>125.850,43</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125.799,43</w:t>
            </w:r>
          </w:p>
        </w:tc>
      </w:tr>
      <w:tr w:rsidR="000576A2" w:rsidRPr="00E44FAC" w:rsidTr="000576A2">
        <w:trPr>
          <w:trHeight w:val="300"/>
          <w:jc w:val="center"/>
        </w:trPr>
        <w:tc>
          <w:tcPr>
            <w:tcW w:w="2636" w:type="dxa"/>
            <w:tcBorders>
              <w:top w:val="nil"/>
              <w:left w:val="nil"/>
              <w:bottom w:val="nil"/>
              <w:right w:val="nil"/>
            </w:tcBorders>
            <w:shd w:val="clear" w:color="auto" w:fill="auto"/>
            <w:noWrap/>
            <w:vAlign w:val="center"/>
            <w:hideMark/>
          </w:tcPr>
          <w:p w:rsidR="000576A2" w:rsidRPr="00E44FAC" w:rsidRDefault="000576A2" w:rsidP="000576A2">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Elementos de transporte</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sz w:val="18"/>
                <w:szCs w:val="18"/>
              </w:rPr>
            </w:pPr>
            <w:r w:rsidRPr="00E44FAC">
              <w:rPr>
                <w:rFonts w:ascii="Cambria" w:hAnsi="Cambria" w:cs="Calibri"/>
                <w:sz w:val="18"/>
                <w:szCs w:val="18"/>
              </w:rPr>
              <w:t>40.005,00</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40.005,00</w:t>
            </w:r>
          </w:p>
        </w:tc>
      </w:tr>
      <w:tr w:rsidR="000576A2" w:rsidRPr="00E44FAC" w:rsidTr="000576A2">
        <w:trPr>
          <w:trHeight w:val="300"/>
          <w:jc w:val="center"/>
        </w:trPr>
        <w:tc>
          <w:tcPr>
            <w:tcW w:w="2636" w:type="dxa"/>
            <w:tcBorders>
              <w:top w:val="nil"/>
              <w:left w:val="nil"/>
              <w:bottom w:val="nil"/>
              <w:right w:val="nil"/>
            </w:tcBorders>
            <w:shd w:val="clear" w:color="auto" w:fill="auto"/>
            <w:noWrap/>
            <w:vAlign w:val="center"/>
            <w:hideMark/>
          </w:tcPr>
          <w:p w:rsidR="000576A2" w:rsidRPr="00E44FAC" w:rsidRDefault="000576A2" w:rsidP="000576A2">
            <w:pPr>
              <w:widowControl/>
              <w:autoSpaceDE/>
              <w:autoSpaceDN/>
              <w:adjustRightInd/>
              <w:rPr>
                <w:rFonts w:ascii="Cambria" w:hAnsi="Cambria" w:cs="Calibri"/>
                <w:color w:val="000000"/>
                <w:sz w:val="18"/>
                <w:szCs w:val="18"/>
              </w:rPr>
            </w:pPr>
            <w:r w:rsidRPr="00E44FAC">
              <w:rPr>
                <w:rFonts w:ascii="Cambria" w:hAnsi="Cambria" w:cs="Calibri"/>
                <w:color w:val="000000"/>
                <w:sz w:val="18"/>
                <w:szCs w:val="18"/>
              </w:rPr>
              <w:t>Otro inmovilizado material</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sz w:val="18"/>
                <w:szCs w:val="18"/>
              </w:rPr>
            </w:pPr>
            <w:r w:rsidRPr="00E44FAC">
              <w:rPr>
                <w:rFonts w:ascii="Cambria" w:hAnsi="Cambria" w:cs="Calibri"/>
                <w:sz w:val="18"/>
                <w:szCs w:val="18"/>
              </w:rPr>
              <w:t>327.668,71</w:t>
            </w:r>
          </w:p>
        </w:tc>
        <w:tc>
          <w:tcPr>
            <w:tcW w:w="1352" w:type="dxa"/>
            <w:tcBorders>
              <w:top w:val="nil"/>
              <w:left w:val="nil"/>
              <w:bottom w:val="nil"/>
              <w:right w:val="nil"/>
            </w:tcBorders>
            <w:shd w:val="clear" w:color="auto" w:fill="auto"/>
            <w:vAlign w:val="center"/>
            <w:hideMark/>
          </w:tcPr>
          <w:p w:rsidR="000576A2" w:rsidRPr="00E44FAC" w:rsidRDefault="000576A2" w:rsidP="000576A2">
            <w:pPr>
              <w:widowControl/>
              <w:autoSpaceDE/>
              <w:autoSpaceDN/>
              <w:adjustRightInd/>
              <w:jc w:val="right"/>
              <w:rPr>
                <w:rFonts w:ascii="Cambria" w:hAnsi="Cambria" w:cs="Calibri"/>
                <w:color w:val="000000"/>
                <w:sz w:val="18"/>
                <w:szCs w:val="18"/>
              </w:rPr>
            </w:pPr>
            <w:r w:rsidRPr="00E44FAC">
              <w:rPr>
                <w:rFonts w:ascii="Cambria" w:hAnsi="Cambria" w:cs="Calibri"/>
                <w:color w:val="000000"/>
                <w:sz w:val="18"/>
                <w:szCs w:val="18"/>
              </w:rPr>
              <w:t>327.668,71</w:t>
            </w:r>
          </w:p>
        </w:tc>
      </w:tr>
      <w:tr w:rsidR="000576A2" w:rsidRPr="00E44FAC" w:rsidTr="000576A2">
        <w:trPr>
          <w:trHeight w:val="300"/>
          <w:jc w:val="center"/>
        </w:trPr>
        <w:tc>
          <w:tcPr>
            <w:tcW w:w="2636" w:type="dxa"/>
            <w:tcBorders>
              <w:top w:val="single" w:sz="4" w:space="0" w:color="auto"/>
              <w:left w:val="nil"/>
              <w:bottom w:val="single" w:sz="4" w:space="0" w:color="auto"/>
              <w:right w:val="nil"/>
            </w:tcBorders>
            <w:shd w:val="clear" w:color="000000" w:fill="F2F2F2"/>
            <w:vAlign w:val="center"/>
            <w:hideMark/>
          </w:tcPr>
          <w:p w:rsidR="000576A2" w:rsidRPr="00E44FAC" w:rsidRDefault="000576A2" w:rsidP="000576A2">
            <w:pPr>
              <w:widowControl/>
              <w:autoSpaceDE/>
              <w:autoSpaceDN/>
              <w:adjustRightInd/>
              <w:rPr>
                <w:rFonts w:ascii="Cambria" w:hAnsi="Cambria" w:cs="Calibri"/>
                <w:b/>
                <w:bCs/>
                <w:color w:val="000000"/>
                <w:sz w:val="18"/>
                <w:szCs w:val="18"/>
              </w:rPr>
            </w:pPr>
            <w:r w:rsidRPr="00E44FAC">
              <w:rPr>
                <w:rFonts w:ascii="Cambria" w:hAnsi="Cambria" w:cs="Calibri"/>
                <w:b/>
                <w:bCs/>
                <w:color w:val="000000"/>
                <w:sz w:val="18"/>
                <w:szCs w:val="18"/>
              </w:rPr>
              <w:t xml:space="preserve"> </w:t>
            </w:r>
          </w:p>
        </w:tc>
        <w:tc>
          <w:tcPr>
            <w:tcW w:w="1352" w:type="dxa"/>
            <w:tcBorders>
              <w:top w:val="single" w:sz="4" w:space="0" w:color="auto"/>
              <w:left w:val="nil"/>
              <w:bottom w:val="single" w:sz="4" w:space="0" w:color="auto"/>
              <w:right w:val="nil"/>
            </w:tcBorders>
            <w:shd w:val="clear" w:color="000000" w:fill="F2F2F2"/>
            <w:vAlign w:val="center"/>
            <w:hideMark/>
          </w:tcPr>
          <w:p w:rsidR="000576A2" w:rsidRPr="00E44FAC" w:rsidRDefault="000576A2" w:rsidP="000576A2">
            <w:pPr>
              <w:widowControl/>
              <w:autoSpaceDE/>
              <w:autoSpaceDN/>
              <w:adjustRightInd/>
              <w:jc w:val="right"/>
              <w:rPr>
                <w:rFonts w:ascii="Cambria" w:hAnsi="Cambria" w:cs="Calibri"/>
                <w:b/>
                <w:bCs/>
                <w:color w:val="000000"/>
                <w:sz w:val="18"/>
                <w:szCs w:val="18"/>
              </w:rPr>
            </w:pPr>
            <w:r w:rsidRPr="00E44FAC">
              <w:rPr>
                <w:rFonts w:ascii="Cambria" w:hAnsi="Cambria" w:cs="Calibri"/>
                <w:b/>
                <w:bCs/>
                <w:color w:val="000000"/>
                <w:sz w:val="18"/>
                <w:szCs w:val="18"/>
              </w:rPr>
              <w:t>623.868,11</w:t>
            </w:r>
          </w:p>
        </w:tc>
        <w:tc>
          <w:tcPr>
            <w:tcW w:w="1352" w:type="dxa"/>
            <w:tcBorders>
              <w:top w:val="single" w:sz="4" w:space="0" w:color="auto"/>
              <w:left w:val="nil"/>
              <w:bottom w:val="single" w:sz="4" w:space="0" w:color="auto"/>
              <w:right w:val="nil"/>
            </w:tcBorders>
            <w:shd w:val="clear" w:color="000000" w:fill="F2F2F2"/>
            <w:vAlign w:val="center"/>
            <w:hideMark/>
          </w:tcPr>
          <w:p w:rsidR="000576A2" w:rsidRPr="00E44FAC" w:rsidRDefault="000576A2" w:rsidP="000576A2">
            <w:pPr>
              <w:widowControl/>
              <w:autoSpaceDE/>
              <w:autoSpaceDN/>
              <w:adjustRightInd/>
              <w:jc w:val="right"/>
              <w:rPr>
                <w:rFonts w:ascii="Cambria" w:hAnsi="Cambria" w:cs="Calibri"/>
                <w:b/>
                <w:bCs/>
                <w:color w:val="000000"/>
                <w:sz w:val="18"/>
                <w:szCs w:val="18"/>
              </w:rPr>
            </w:pPr>
            <w:r w:rsidRPr="00E44FAC">
              <w:rPr>
                <w:rFonts w:ascii="Cambria" w:hAnsi="Cambria" w:cs="Calibri"/>
                <w:b/>
                <w:bCs/>
                <w:color w:val="000000"/>
                <w:sz w:val="18"/>
                <w:szCs w:val="18"/>
              </w:rPr>
              <w:t>621.887,06</w:t>
            </w:r>
          </w:p>
        </w:tc>
      </w:tr>
    </w:tbl>
    <w:p w:rsidR="000576A2" w:rsidRPr="00E44FAC" w:rsidRDefault="000576A2" w:rsidP="000576A2">
      <w:pPr>
        <w:shd w:val="clear" w:color="auto" w:fill="FFFFFF"/>
        <w:spacing w:before="101"/>
        <w:ind w:left="702" w:firstLine="7"/>
        <w:rPr>
          <w:rFonts w:ascii="Times New Roman" w:hAnsi="Times New Roman" w:cs="Times New Roman"/>
          <w:color w:val="0000FF"/>
          <w:sz w:val="22"/>
          <w:szCs w:val="22"/>
          <w:lang w:val="es-ES_tradnl"/>
        </w:rPr>
      </w:pPr>
    </w:p>
    <w:p w:rsidR="000576A2" w:rsidRPr="00321047" w:rsidRDefault="000576A2" w:rsidP="000576A2">
      <w:pPr>
        <w:shd w:val="clear" w:color="auto" w:fill="FFFFFF"/>
        <w:ind w:left="709"/>
        <w:jc w:val="both"/>
        <w:rPr>
          <w:rFonts w:ascii="Times New Roman" w:hAnsi="Times New Roman" w:cs="Times New Roman"/>
          <w:b/>
          <w:color w:val="0000FF"/>
          <w:sz w:val="22"/>
          <w:szCs w:val="22"/>
          <w:lang w:val="es-ES_tradnl" w:eastAsia="es-ES_tradnl"/>
        </w:rPr>
      </w:pPr>
    </w:p>
    <w:p w:rsidR="000576A2" w:rsidRPr="006E70F7" w:rsidRDefault="000576A2" w:rsidP="000576A2">
      <w:pPr>
        <w:shd w:val="clear" w:color="auto" w:fill="FFFFFF"/>
        <w:ind w:left="709"/>
        <w:jc w:val="both"/>
        <w:rPr>
          <w:rFonts w:ascii="Times New Roman" w:hAnsi="Times New Roman" w:cs="Times New Roman"/>
          <w:b/>
          <w:sz w:val="22"/>
          <w:szCs w:val="22"/>
          <w:u w:val="single"/>
          <w:lang w:val="es-ES_tradnl" w:eastAsia="es-ES_tradnl"/>
        </w:rPr>
      </w:pPr>
      <w:r w:rsidRPr="006E70F7">
        <w:rPr>
          <w:rFonts w:ascii="Times New Roman" w:hAnsi="Times New Roman" w:cs="Times New Roman"/>
          <w:b/>
          <w:sz w:val="22"/>
          <w:szCs w:val="22"/>
          <w:u w:val="single"/>
          <w:lang w:val="es-ES_tradnl" w:eastAsia="es-ES_tradnl"/>
        </w:rPr>
        <w:t>Bienes cedidos de Dominio Público</w:t>
      </w:r>
    </w:p>
    <w:p w:rsidR="000576A2" w:rsidRPr="001F6884" w:rsidRDefault="000576A2" w:rsidP="000576A2">
      <w:pPr>
        <w:shd w:val="clear" w:color="auto" w:fill="FFFFFF"/>
        <w:ind w:left="709"/>
        <w:jc w:val="both"/>
        <w:rPr>
          <w:rFonts w:ascii="Times New Roman" w:hAnsi="Times New Roman" w:cs="Times New Roman"/>
          <w:b/>
          <w:sz w:val="22"/>
          <w:szCs w:val="22"/>
          <w:lang w:val="es-ES_tradnl" w:eastAsia="es-ES_tradnl"/>
        </w:rPr>
      </w:pPr>
    </w:p>
    <w:p w:rsidR="000576A2" w:rsidRPr="001F6884" w:rsidRDefault="000576A2" w:rsidP="000576A2">
      <w:pPr>
        <w:shd w:val="clear" w:color="auto" w:fill="FFFFFF"/>
        <w:ind w:left="709"/>
        <w:jc w:val="both"/>
        <w:rPr>
          <w:rFonts w:ascii="Times New Roman" w:hAnsi="Times New Roman" w:cs="Times New Roman"/>
          <w:spacing w:val="-2"/>
          <w:sz w:val="22"/>
          <w:szCs w:val="22"/>
          <w:lang w:val="es-ES_tradnl" w:eastAsia="es-ES_tradnl"/>
        </w:rPr>
      </w:pPr>
      <w:bookmarkStart w:id="3" w:name="OLE_LINK3"/>
      <w:bookmarkStart w:id="4" w:name="OLE_LINK4"/>
      <w:bookmarkStart w:id="5" w:name="OLE_LINK5"/>
      <w:r w:rsidRPr="001F6884">
        <w:rPr>
          <w:rFonts w:ascii="Times New Roman" w:hAnsi="Times New Roman" w:cs="Times New Roman"/>
          <w:spacing w:val="-2"/>
          <w:sz w:val="22"/>
          <w:szCs w:val="22"/>
          <w:lang w:val="es-ES_tradnl" w:eastAsia="es-ES_tradnl"/>
        </w:rPr>
        <w:t>En el  ejercicio 2012 se activó en el inmovilizado material, el Edificio Miller sito en la calle Simón Bolívar número 12 y el Castillo de Mata, sito en la carretera de Mata,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Ayuntamiento de Las Palmas de Gran Canaria en el momento de la cesión de los bienes.</w:t>
      </w:r>
      <w:bookmarkStart w:id="6" w:name="OLE_LINK1"/>
      <w:bookmarkStart w:id="7" w:name="OLE_LINK2"/>
      <w:bookmarkEnd w:id="3"/>
      <w:bookmarkEnd w:id="4"/>
      <w:bookmarkEnd w:id="5"/>
      <w:r w:rsidRPr="001F6884">
        <w:rPr>
          <w:rFonts w:ascii="Times New Roman" w:hAnsi="Times New Roman" w:cs="Times New Roman"/>
          <w:spacing w:val="-2"/>
          <w:sz w:val="22"/>
          <w:szCs w:val="22"/>
          <w:lang w:val="es-ES_tradnl" w:eastAsia="es-ES_tradnl"/>
        </w:rPr>
        <w:t xml:space="preserve"> </w:t>
      </w:r>
    </w:p>
    <w:p w:rsidR="000576A2" w:rsidRPr="001F6884" w:rsidRDefault="000576A2" w:rsidP="000576A2">
      <w:pPr>
        <w:shd w:val="clear" w:color="auto" w:fill="FFFFFF"/>
        <w:ind w:left="720"/>
        <w:jc w:val="both"/>
        <w:rPr>
          <w:rFonts w:ascii="Times New Roman" w:hAnsi="Times New Roman" w:cs="Times New Roman"/>
          <w:spacing w:val="-2"/>
          <w:sz w:val="22"/>
          <w:szCs w:val="22"/>
          <w:lang w:val="es-ES_tradnl" w:eastAsia="es-ES_tradnl"/>
        </w:rPr>
      </w:pPr>
    </w:p>
    <w:p w:rsidR="000576A2" w:rsidRPr="001F6884"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rsidR="000576A2" w:rsidRPr="001F6884" w:rsidRDefault="000576A2" w:rsidP="000576A2">
      <w:pPr>
        <w:shd w:val="clear" w:color="auto" w:fill="FFFFFF"/>
        <w:ind w:left="709"/>
        <w:jc w:val="both"/>
        <w:rPr>
          <w:rFonts w:ascii="Times New Roman" w:hAnsi="Times New Roman" w:cs="Times New Roman"/>
          <w:spacing w:val="-2"/>
          <w:sz w:val="22"/>
          <w:szCs w:val="22"/>
          <w:lang w:val="es-ES_tradnl" w:eastAsia="es-ES_tradnl"/>
        </w:rPr>
      </w:pPr>
    </w:p>
    <w:p w:rsidR="000576A2" w:rsidRPr="001F6884"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En el ejercicio 2015 se activó en el inmovilizado material el conjunto Castillo de la Luz y Pabellón anexo sito en la calle Juan Rejón, Parque del Castillo de la Luz, en el distrito Isleta-Puerto-</w:t>
      </w:r>
      <w:proofErr w:type="spellStart"/>
      <w:r w:rsidRPr="001F6884">
        <w:rPr>
          <w:rFonts w:ascii="Times New Roman" w:hAnsi="Times New Roman" w:cs="Times New Roman"/>
          <w:spacing w:val="-2"/>
          <w:sz w:val="22"/>
          <w:szCs w:val="22"/>
          <w:lang w:val="es-ES_tradnl" w:eastAsia="es-ES_tradnl"/>
        </w:rPr>
        <w:t>Guanarteme</w:t>
      </w:r>
      <w:proofErr w:type="spellEnd"/>
      <w:r w:rsidRPr="001F6884">
        <w:rPr>
          <w:rFonts w:ascii="Times New Roman" w:hAnsi="Times New Roman" w:cs="Times New Roman"/>
          <w:spacing w:val="-2"/>
          <w:sz w:val="22"/>
          <w:szCs w:val="22"/>
          <w:lang w:val="es-ES_tradnl" w:eastAsia="es-ES_tradnl"/>
        </w:rPr>
        <w:t xml:space="preserve">; El equipamiento cultural el Molino de las Magnolias sito en la calle El Molino Tafira nº 1, en el distrito </w:t>
      </w:r>
      <w:proofErr w:type="spellStart"/>
      <w:r w:rsidRPr="001F6884">
        <w:rPr>
          <w:rFonts w:ascii="Times New Roman" w:hAnsi="Times New Roman" w:cs="Times New Roman"/>
          <w:spacing w:val="-2"/>
          <w:sz w:val="22"/>
          <w:szCs w:val="22"/>
          <w:lang w:val="es-ES_tradnl" w:eastAsia="es-ES_tradnl"/>
        </w:rPr>
        <w:t>Vegueta</w:t>
      </w:r>
      <w:proofErr w:type="spellEnd"/>
      <w:r w:rsidRPr="001F6884">
        <w:rPr>
          <w:rFonts w:ascii="Times New Roman" w:hAnsi="Times New Roman" w:cs="Times New Roman"/>
          <w:spacing w:val="-2"/>
          <w:sz w:val="22"/>
          <w:szCs w:val="22"/>
          <w:lang w:val="es-ES_tradnl" w:eastAsia="es-ES_tradnl"/>
        </w:rPr>
        <w:t xml:space="preserve">-Cono Sur y Tafira; y El Palacete </w:t>
      </w:r>
      <w:proofErr w:type="spellStart"/>
      <w:r w:rsidRPr="001F6884">
        <w:rPr>
          <w:rFonts w:ascii="Times New Roman" w:hAnsi="Times New Roman" w:cs="Times New Roman"/>
          <w:spacing w:val="-2"/>
          <w:sz w:val="22"/>
          <w:szCs w:val="22"/>
          <w:lang w:val="es-ES_tradnl" w:eastAsia="es-ES_tradnl"/>
        </w:rPr>
        <w:t>Rodriguez</w:t>
      </w:r>
      <w:proofErr w:type="spellEnd"/>
      <w:r w:rsidRPr="001F6884">
        <w:rPr>
          <w:rFonts w:ascii="Times New Roman" w:hAnsi="Times New Roman" w:cs="Times New Roman"/>
          <w:spacing w:val="-2"/>
          <w:sz w:val="22"/>
          <w:szCs w:val="22"/>
          <w:lang w:val="es-ES_tradnl" w:eastAsia="es-ES_tradnl"/>
        </w:rPr>
        <w:t xml:space="preserve"> </w:t>
      </w:r>
      <w:proofErr w:type="spellStart"/>
      <w:r w:rsidRPr="001F6884">
        <w:rPr>
          <w:rFonts w:ascii="Times New Roman" w:hAnsi="Times New Roman" w:cs="Times New Roman"/>
          <w:spacing w:val="-2"/>
          <w:sz w:val="22"/>
          <w:szCs w:val="22"/>
          <w:lang w:val="es-ES_tradnl" w:eastAsia="es-ES_tradnl"/>
        </w:rPr>
        <w:t>Quegles</w:t>
      </w:r>
      <w:proofErr w:type="spellEnd"/>
      <w:r w:rsidRPr="001F6884">
        <w:rPr>
          <w:rFonts w:ascii="Times New Roman" w:hAnsi="Times New Roman" w:cs="Times New Roman"/>
          <w:spacing w:val="-2"/>
          <w:sz w:val="22"/>
          <w:szCs w:val="22"/>
          <w:lang w:val="es-ES_tradnl" w:eastAsia="es-ES_tradnl"/>
        </w:rPr>
        <w:t xml:space="preserve"> sito en la calle Benito Pérez </w:t>
      </w:r>
      <w:proofErr w:type="spellStart"/>
      <w:r w:rsidRPr="001F6884">
        <w:rPr>
          <w:rFonts w:ascii="Times New Roman" w:hAnsi="Times New Roman" w:cs="Times New Roman"/>
          <w:spacing w:val="-2"/>
          <w:sz w:val="22"/>
          <w:szCs w:val="22"/>
          <w:lang w:val="es-ES_tradnl" w:eastAsia="es-ES_tradnl"/>
        </w:rPr>
        <w:t>Galdos</w:t>
      </w:r>
      <w:proofErr w:type="spellEnd"/>
      <w:r w:rsidRPr="001F6884">
        <w:rPr>
          <w:rFonts w:ascii="Times New Roman" w:hAnsi="Times New Roman" w:cs="Times New Roman"/>
          <w:spacing w:val="-2"/>
          <w:sz w:val="22"/>
          <w:szCs w:val="22"/>
          <w:lang w:val="es-ES_tradnl" w:eastAsia="es-ES_tradnl"/>
        </w:rPr>
        <w:t xml:space="preserve">, escritor nº 4, en el distrito Centro de Las Palmas de Gran Canaria;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Ayuntamiento de Las Palmas de Gran Canaria en el momento de la cesión de los bienes. </w:t>
      </w:r>
    </w:p>
    <w:p w:rsidR="000576A2"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Dichas activaciones realizas en el ejercicio 2015, </w:t>
      </w:r>
      <w:bookmarkStart w:id="8" w:name="OLE_LINK6"/>
      <w:bookmarkStart w:id="9" w:name="OLE_LINK7"/>
      <w:r w:rsidRPr="001F6884">
        <w:rPr>
          <w:rFonts w:ascii="Times New Roman" w:hAnsi="Times New Roman" w:cs="Times New Roman"/>
          <w:spacing w:val="-2"/>
          <w:sz w:val="22"/>
          <w:szCs w:val="22"/>
          <w:lang w:val="es-ES_tradnl" w:eastAsia="es-ES_tradnl"/>
        </w:rPr>
        <w:t xml:space="preserve">del Conjunto Castillo de la Luz y Pabellón anexo, del equipamiento cultural el Molino de las Magnolias y del Palacete </w:t>
      </w:r>
      <w:proofErr w:type="spellStart"/>
      <w:r w:rsidRPr="001F6884">
        <w:rPr>
          <w:rFonts w:ascii="Times New Roman" w:hAnsi="Times New Roman" w:cs="Times New Roman"/>
          <w:spacing w:val="-2"/>
          <w:sz w:val="22"/>
          <w:szCs w:val="22"/>
          <w:lang w:val="es-ES_tradnl" w:eastAsia="es-ES_tradnl"/>
        </w:rPr>
        <w:t>Rodriguez</w:t>
      </w:r>
      <w:proofErr w:type="spellEnd"/>
      <w:r w:rsidRPr="001F6884">
        <w:rPr>
          <w:rFonts w:ascii="Times New Roman" w:hAnsi="Times New Roman" w:cs="Times New Roman"/>
          <w:spacing w:val="-2"/>
          <w:sz w:val="22"/>
          <w:szCs w:val="22"/>
          <w:lang w:val="es-ES_tradnl" w:eastAsia="es-ES_tradnl"/>
        </w:rPr>
        <w:t xml:space="preserve"> </w:t>
      </w:r>
      <w:proofErr w:type="spellStart"/>
      <w:r w:rsidRPr="001F6884">
        <w:rPr>
          <w:rFonts w:ascii="Times New Roman" w:hAnsi="Times New Roman" w:cs="Times New Roman"/>
          <w:spacing w:val="-2"/>
          <w:sz w:val="22"/>
          <w:szCs w:val="22"/>
          <w:lang w:val="es-ES_tradnl" w:eastAsia="es-ES_tradnl"/>
        </w:rPr>
        <w:t>Quegles</w:t>
      </w:r>
      <w:bookmarkEnd w:id="8"/>
      <w:bookmarkEnd w:id="9"/>
      <w:proofErr w:type="spellEnd"/>
      <w:r w:rsidRPr="001F6884">
        <w:rPr>
          <w:rFonts w:ascii="Times New Roman" w:hAnsi="Times New Roman" w:cs="Times New Roman"/>
          <w:spacing w:val="-2"/>
          <w:sz w:val="22"/>
          <w:szCs w:val="22"/>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1F6884">
        <w:rPr>
          <w:rFonts w:ascii="Times New Roman" w:hAnsi="Times New Roman" w:cs="Times New Roman"/>
          <w:spacing w:val="-2"/>
          <w:sz w:val="22"/>
          <w:szCs w:val="22"/>
          <w:lang w:val="es-ES_tradnl" w:eastAsia="es-ES_tradnl"/>
        </w:rPr>
        <w:t>Promocion</w:t>
      </w:r>
      <w:proofErr w:type="spellEnd"/>
      <w:r w:rsidRPr="001F6884">
        <w:rPr>
          <w:rFonts w:ascii="Times New Roman" w:hAnsi="Times New Roman" w:cs="Times New Roman"/>
          <w:spacing w:val="-2"/>
          <w:sz w:val="22"/>
          <w:szCs w:val="22"/>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w:t>
      </w:r>
      <w:proofErr w:type="spellStart"/>
      <w:r w:rsidRPr="001F6884">
        <w:rPr>
          <w:rFonts w:ascii="Times New Roman" w:hAnsi="Times New Roman" w:cs="Times New Roman"/>
          <w:spacing w:val="-2"/>
          <w:sz w:val="22"/>
          <w:szCs w:val="22"/>
          <w:lang w:val="es-ES_tradnl" w:eastAsia="es-ES_tradnl"/>
        </w:rPr>
        <w:t>Rodriguez</w:t>
      </w:r>
      <w:proofErr w:type="spellEnd"/>
      <w:r w:rsidRPr="001F6884">
        <w:rPr>
          <w:rFonts w:ascii="Times New Roman" w:hAnsi="Times New Roman" w:cs="Times New Roman"/>
          <w:spacing w:val="-2"/>
          <w:sz w:val="22"/>
          <w:szCs w:val="22"/>
          <w:lang w:val="es-ES_tradnl" w:eastAsia="es-ES_tradnl"/>
        </w:rPr>
        <w:t xml:space="preserve"> </w:t>
      </w:r>
      <w:proofErr w:type="spellStart"/>
      <w:r w:rsidRPr="001F6884">
        <w:rPr>
          <w:rFonts w:ascii="Times New Roman" w:hAnsi="Times New Roman" w:cs="Times New Roman"/>
          <w:spacing w:val="-2"/>
          <w:sz w:val="22"/>
          <w:szCs w:val="22"/>
          <w:lang w:val="es-ES_tradnl" w:eastAsia="es-ES_tradnl"/>
        </w:rPr>
        <w:t>Quegles</w:t>
      </w:r>
      <w:proofErr w:type="spellEnd"/>
      <w:r w:rsidRPr="001F6884">
        <w:rPr>
          <w:rFonts w:ascii="Times New Roman" w:hAnsi="Times New Roman" w:cs="Times New Roman"/>
          <w:spacing w:val="-2"/>
          <w:sz w:val="22"/>
          <w:szCs w:val="22"/>
          <w:lang w:val="es-ES_tradnl" w:eastAsia="es-ES_tradnl"/>
        </w:rPr>
        <w:t xml:space="preserve"> se adscribió con la Resolución número 11304/2015 de fecha 09 de mayo 2015.</w:t>
      </w:r>
    </w:p>
    <w:p w:rsidR="001F5027" w:rsidRDefault="001F5027" w:rsidP="000576A2">
      <w:pPr>
        <w:shd w:val="clear" w:color="auto" w:fill="FFFFFF"/>
        <w:ind w:left="709"/>
        <w:jc w:val="both"/>
        <w:rPr>
          <w:rFonts w:ascii="Times New Roman" w:hAnsi="Times New Roman" w:cs="Times New Roman"/>
          <w:spacing w:val="-2"/>
          <w:sz w:val="22"/>
          <w:szCs w:val="22"/>
          <w:lang w:val="es-ES_tradnl" w:eastAsia="es-ES_tradnl"/>
        </w:rPr>
      </w:pPr>
    </w:p>
    <w:p w:rsidR="00A132A5" w:rsidRDefault="00A132A5" w:rsidP="000576A2">
      <w:pPr>
        <w:shd w:val="clear" w:color="auto" w:fill="FFFFFF"/>
        <w:ind w:left="709"/>
        <w:jc w:val="both"/>
        <w:rPr>
          <w:rFonts w:ascii="Times New Roman" w:hAnsi="Times New Roman" w:cs="Times New Roman"/>
          <w:spacing w:val="-2"/>
          <w:sz w:val="22"/>
          <w:szCs w:val="22"/>
          <w:lang w:val="es-ES_tradnl" w:eastAsia="es-ES_tradnl"/>
        </w:rPr>
      </w:pPr>
    </w:p>
    <w:p w:rsidR="001F5027" w:rsidRPr="001F5027"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1F5027">
        <w:rPr>
          <w:rFonts w:ascii="Times New Roman" w:hAnsi="Times New Roman" w:cs="Times New Roman"/>
          <w:b/>
          <w:spacing w:val="-2"/>
          <w:sz w:val="22"/>
          <w:szCs w:val="22"/>
          <w:u w:val="single"/>
          <w:lang w:val="es-ES_tradnl" w:eastAsia="es-ES_tradnl"/>
        </w:rPr>
        <w:t>Políticas de seguros</w:t>
      </w:r>
    </w:p>
    <w:p w:rsidR="001F5027" w:rsidRPr="001F5027" w:rsidRDefault="001F5027" w:rsidP="001F5027">
      <w:pPr>
        <w:shd w:val="clear" w:color="auto" w:fill="FFFFFF"/>
        <w:ind w:left="709"/>
        <w:jc w:val="both"/>
        <w:rPr>
          <w:rFonts w:ascii="Times New Roman" w:hAnsi="Times New Roman" w:cs="Times New Roman"/>
          <w:spacing w:val="-2"/>
          <w:sz w:val="22"/>
          <w:szCs w:val="22"/>
          <w:lang w:val="es-ES_tradnl" w:eastAsia="es-ES_tradnl"/>
        </w:rPr>
      </w:pPr>
    </w:p>
    <w:p w:rsidR="001F5027" w:rsidRPr="001F5027" w:rsidRDefault="001F5027" w:rsidP="001F5027">
      <w:pPr>
        <w:shd w:val="clear" w:color="auto" w:fill="FFFFFF"/>
        <w:ind w:left="709"/>
        <w:jc w:val="both"/>
        <w:rPr>
          <w:rFonts w:ascii="Times New Roman" w:hAnsi="Times New Roman" w:cs="Times New Roman"/>
          <w:spacing w:val="-2"/>
          <w:sz w:val="22"/>
          <w:szCs w:val="22"/>
          <w:lang w:val="es-ES_tradnl" w:eastAsia="es-ES_tradnl"/>
        </w:rPr>
      </w:pPr>
      <w:r w:rsidRPr="001F5027">
        <w:rPr>
          <w:rFonts w:ascii="Times New Roman" w:hAnsi="Times New Roman" w:cs="Times New Roman"/>
          <w:spacing w:val="-2"/>
          <w:sz w:val="22"/>
          <w:szCs w:val="22"/>
          <w:lang w:val="es-ES_tradnl" w:eastAsia="es-ES_tradnl"/>
        </w:rPr>
        <w:t>La Sociedad sigue la práctica de formalizar pólizas de seguros para cubrir los posibles riesgos a los que están expuestos los diversos elementos de su inmovilizado material Los Administradores de la Sociedad estiman que la cobertura contratada al cierre del ejercicio resulta suficiente para cubrir los riesgos propios de las actividades de la Sociedad.</w:t>
      </w:r>
    </w:p>
    <w:p w:rsidR="001F5027" w:rsidRPr="001F5027" w:rsidRDefault="001F5027" w:rsidP="000576A2">
      <w:pPr>
        <w:shd w:val="clear" w:color="auto" w:fill="FFFFFF"/>
        <w:ind w:left="709"/>
        <w:jc w:val="both"/>
        <w:rPr>
          <w:rFonts w:ascii="Times New Roman" w:hAnsi="Times New Roman" w:cs="Times New Roman"/>
          <w:spacing w:val="-2"/>
          <w:sz w:val="22"/>
          <w:szCs w:val="22"/>
          <w:lang w:eastAsia="es-ES_tradnl"/>
        </w:rPr>
      </w:pPr>
    </w:p>
    <w:bookmarkEnd w:id="6"/>
    <w:bookmarkEnd w:id="7"/>
    <w:p w:rsidR="00400D00" w:rsidRPr="00321047" w:rsidRDefault="00400D00" w:rsidP="00934221">
      <w:pPr>
        <w:shd w:val="clear" w:color="auto" w:fill="FFFFFF"/>
        <w:ind w:firstLine="709"/>
        <w:jc w:val="both"/>
        <w:rPr>
          <w:rFonts w:ascii="Times New Roman" w:hAnsi="Times New Roman" w:cs="Times New Roman"/>
          <w:b/>
          <w:color w:val="0000FF"/>
          <w:sz w:val="22"/>
          <w:szCs w:val="22"/>
          <w:lang w:val="es-ES_tradnl" w:eastAsia="es-ES_tradnl"/>
        </w:rPr>
      </w:pPr>
    </w:p>
    <w:p w:rsidR="006C0067" w:rsidRPr="00DC6B29" w:rsidRDefault="000576A2" w:rsidP="00934221">
      <w:pPr>
        <w:shd w:val="clear" w:color="auto" w:fill="FFFFFF"/>
        <w:ind w:firstLine="709"/>
        <w:jc w:val="both"/>
        <w:rPr>
          <w:rFonts w:ascii="Times New Roman" w:hAnsi="Times New Roman" w:cs="Times New Roman"/>
          <w:b/>
          <w:sz w:val="22"/>
          <w:szCs w:val="22"/>
        </w:rPr>
      </w:pPr>
      <w:r>
        <w:rPr>
          <w:rFonts w:ascii="Times New Roman" w:hAnsi="Times New Roman" w:cs="Times New Roman"/>
          <w:b/>
          <w:sz w:val="22"/>
          <w:szCs w:val="22"/>
          <w:lang w:val="es-ES_tradnl" w:eastAsia="es-ES_tradnl"/>
        </w:rPr>
        <w:t>7</w:t>
      </w:r>
      <w:r w:rsidR="006C0067" w:rsidRPr="00DC6B29">
        <w:rPr>
          <w:rFonts w:ascii="Times New Roman" w:hAnsi="Times New Roman" w:cs="Times New Roman"/>
          <w:b/>
          <w:sz w:val="22"/>
          <w:szCs w:val="22"/>
          <w:lang w:val="es-ES_tradnl" w:eastAsia="es-ES_tradnl"/>
        </w:rPr>
        <w:t xml:space="preserve">. </w:t>
      </w:r>
      <w:r>
        <w:rPr>
          <w:rFonts w:ascii="Times New Roman" w:hAnsi="Times New Roman" w:cs="Times New Roman"/>
          <w:b/>
          <w:sz w:val="22"/>
          <w:szCs w:val="22"/>
          <w:u w:val="double"/>
          <w:lang w:val="es-ES_tradnl" w:eastAsia="es-ES_tradnl"/>
        </w:rPr>
        <w:t xml:space="preserve">INSTRUMENTOS </w:t>
      </w:r>
      <w:r w:rsidR="006C0067" w:rsidRPr="00DC6B29">
        <w:rPr>
          <w:rFonts w:ascii="Times New Roman" w:hAnsi="Times New Roman" w:cs="Times New Roman"/>
          <w:b/>
          <w:sz w:val="22"/>
          <w:szCs w:val="22"/>
          <w:u w:val="double"/>
          <w:lang w:val="es-ES_tradnl" w:eastAsia="es-ES_tradnl"/>
        </w:rPr>
        <w:t>FINANCIEROS</w:t>
      </w:r>
    </w:p>
    <w:p w:rsidR="006C0067" w:rsidRDefault="006C0067" w:rsidP="006C0067">
      <w:pPr>
        <w:shd w:val="clear" w:color="auto" w:fill="FFFFFF"/>
        <w:ind w:left="720" w:firstLine="720"/>
        <w:jc w:val="both"/>
        <w:rPr>
          <w:rFonts w:ascii="Times New Roman" w:hAnsi="Times New Roman" w:cs="Times New Roman"/>
          <w:spacing w:val="-2"/>
          <w:sz w:val="22"/>
          <w:szCs w:val="22"/>
          <w:lang w:val="es-ES_tradnl" w:eastAsia="es-ES_tradnl"/>
        </w:rPr>
      </w:pPr>
    </w:p>
    <w:p w:rsidR="001F5027" w:rsidRPr="001F5027"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1F5027">
        <w:rPr>
          <w:rFonts w:ascii="Times New Roman" w:hAnsi="Times New Roman" w:cs="Times New Roman"/>
          <w:b/>
          <w:spacing w:val="-2"/>
          <w:sz w:val="22"/>
          <w:szCs w:val="22"/>
          <w:u w:val="single"/>
          <w:lang w:val="es-ES_tradnl" w:eastAsia="es-ES_tradnl"/>
        </w:rPr>
        <w:t>A) ACTIVOS FINANCIEROS</w:t>
      </w:r>
    </w:p>
    <w:p w:rsidR="001F5027" w:rsidRPr="00DC6B29" w:rsidRDefault="001F5027" w:rsidP="006C0067">
      <w:pPr>
        <w:shd w:val="clear" w:color="auto" w:fill="FFFFFF"/>
        <w:ind w:left="720" w:firstLine="720"/>
        <w:jc w:val="both"/>
        <w:rPr>
          <w:rFonts w:ascii="Times New Roman" w:hAnsi="Times New Roman" w:cs="Times New Roman"/>
          <w:spacing w:val="-2"/>
          <w:sz w:val="22"/>
          <w:szCs w:val="22"/>
          <w:lang w:val="es-ES_tradnl" w:eastAsia="es-ES_tradnl"/>
        </w:rPr>
      </w:pPr>
    </w:p>
    <w:p w:rsidR="006C0067" w:rsidRPr="00DC6B29" w:rsidRDefault="001F5027" w:rsidP="00934221">
      <w:pPr>
        <w:shd w:val="clear" w:color="auto" w:fill="FFFFFF"/>
        <w:ind w:left="720"/>
        <w:jc w:val="both"/>
        <w:rPr>
          <w:rFonts w:ascii="Times New Roman" w:hAnsi="Times New Roman" w:cs="Times New Roman"/>
          <w:sz w:val="22"/>
          <w:szCs w:val="22"/>
          <w:lang w:val="es-ES_tradnl" w:eastAsia="es-ES_tradnl"/>
        </w:rPr>
      </w:pPr>
      <w:r>
        <w:rPr>
          <w:rFonts w:ascii="Times New Roman" w:hAnsi="Times New Roman" w:cs="Times New Roman"/>
          <w:b/>
          <w:spacing w:val="-2"/>
          <w:sz w:val="22"/>
          <w:szCs w:val="22"/>
          <w:lang w:val="es-ES_tradnl" w:eastAsia="es-ES_tradnl"/>
        </w:rPr>
        <w:t>A</w:t>
      </w:r>
      <w:r w:rsidR="006C0067" w:rsidRPr="00DC6B29">
        <w:rPr>
          <w:rFonts w:ascii="Times New Roman" w:hAnsi="Times New Roman" w:cs="Times New Roman"/>
          <w:b/>
          <w:spacing w:val="-2"/>
          <w:sz w:val="22"/>
          <w:szCs w:val="22"/>
          <w:lang w:val="es-ES_tradnl" w:eastAsia="es-ES_tradnl"/>
        </w:rPr>
        <w:t>.1.</w:t>
      </w:r>
      <w:r w:rsidR="006C0067" w:rsidRPr="00DC6B29">
        <w:rPr>
          <w:rFonts w:ascii="Times New Roman" w:hAnsi="Times New Roman" w:cs="Times New Roman"/>
          <w:spacing w:val="-2"/>
          <w:sz w:val="22"/>
          <w:szCs w:val="22"/>
          <w:lang w:val="es-ES_tradnl" w:eastAsia="es-ES_tradnl"/>
        </w:rPr>
        <w:t xml:space="preserve"> </w:t>
      </w:r>
      <w:r w:rsidR="000576A2">
        <w:rPr>
          <w:rFonts w:ascii="Times New Roman" w:hAnsi="Times New Roman" w:cs="Times New Roman"/>
          <w:spacing w:val="-2"/>
          <w:sz w:val="22"/>
          <w:szCs w:val="22"/>
          <w:lang w:val="es-ES_tradnl" w:eastAsia="es-ES_tradnl"/>
        </w:rPr>
        <w:t xml:space="preserve">No existen activos financieros a largo plazo. </w:t>
      </w:r>
      <w:r w:rsidR="006C0067" w:rsidRPr="00DC6B29">
        <w:rPr>
          <w:rFonts w:ascii="Times New Roman" w:hAnsi="Times New Roman" w:cs="Times New Roman"/>
          <w:spacing w:val="-2"/>
          <w:sz w:val="22"/>
          <w:szCs w:val="22"/>
          <w:lang w:val="es-ES_tradnl" w:eastAsia="es-ES_tradnl"/>
        </w:rPr>
        <w:t>La composición por categor</w:t>
      </w:r>
      <w:r w:rsidR="000576A2">
        <w:rPr>
          <w:rFonts w:ascii="Times New Roman" w:hAnsi="Times New Roman" w:cs="Times New Roman"/>
          <w:spacing w:val="-2"/>
          <w:sz w:val="22"/>
          <w:szCs w:val="22"/>
          <w:lang w:val="es-ES_tradnl" w:eastAsia="es-ES_tradnl"/>
        </w:rPr>
        <w:t xml:space="preserve">ías de los activos financieros </w:t>
      </w:r>
      <w:r w:rsidR="006C0067" w:rsidRPr="00DC6B29">
        <w:rPr>
          <w:rFonts w:ascii="Times New Roman" w:hAnsi="Times New Roman" w:cs="Times New Roman"/>
          <w:spacing w:val="-2"/>
          <w:sz w:val="22"/>
          <w:szCs w:val="22"/>
          <w:lang w:val="es-ES_tradnl" w:eastAsia="es-ES_tradnl"/>
        </w:rPr>
        <w:t>a corto plazo</w:t>
      </w:r>
      <w:r w:rsidR="004F5453" w:rsidRPr="00DC6B29">
        <w:rPr>
          <w:rFonts w:ascii="Times New Roman" w:hAnsi="Times New Roman" w:cs="Times New Roman"/>
          <w:spacing w:val="-2"/>
          <w:sz w:val="22"/>
          <w:szCs w:val="22"/>
          <w:lang w:val="es-ES_tradnl" w:eastAsia="es-ES_tradnl"/>
        </w:rPr>
        <w:t xml:space="preserve"> </w:t>
      </w:r>
      <w:r w:rsidR="006C0067" w:rsidRPr="00DC6B29">
        <w:rPr>
          <w:rFonts w:ascii="Times New Roman" w:hAnsi="Times New Roman" w:cs="Times New Roman"/>
          <w:spacing w:val="-2"/>
          <w:sz w:val="22"/>
          <w:szCs w:val="22"/>
          <w:lang w:val="es-ES_tradnl" w:eastAsia="es-ES_tradnl"/>
        </w:rPr>
        <w:t xml:space="preserve">es </w:t>
      </w:r>
      <w:r w:rsidR="006C0067" w:rsidRPr="00DC6B29">
        <w:rPr>
          <w:rFonts w:ascii="Times New Roman" w:hAnsi="Times New Roman" w:cs="Times New Roman"/>
          <w:sz w:val="22"/>
          <w:szCs w:val="22"/>
          <w:lang w:val="es-ES_tradnl" w:eastAsia="es-ES_tradnl"/>
        </w:rPr>
        <w:t>la siguiente:</w:t>
      </w:r>
    </w:p>
    <w:p w:rsidR="00FF6420" w:rsidRPr="00DC6B29" w:rsidRDefault="00FF6420" w:rsidP="00934221">
      <w:pPr>
        <w:shd w:val="clear" w:color="auto" w:fill="FFFFFF"/>
        <w:ind w:left="720"/>
        <w:jc w:val="both"/>
        <w:rPr>
          <w:rFonts w:ascii="Times New Roman" w:hAnsi="Times New Roman" w:cs="Times New Roman"/>
          <w:sz w:val="22"/>
          <w:szCs w:val="22"/>
          <w:lang w:val="es-ES_tradnl" w:eastAsia="es-ES_tradnl"/>
        </w:rPr>
      </w:pPr>
    </w:p>
    <w:tbl>
      <w:tblPr>
        <w:tblW w:w="7828" w:type="dxa"/>
        <w:jc w:val="center"/>
        <w:tblInd w:w="65" w:type="dxa"/>
        <w:tblCellMar>
          <w:left w:w="70" w:type="dxa"/>
          <w:right w:w="70" w:type="dxa"/>
        </w:tblCellMar>
        <w:tblLook w:val="04A0"/>
      </w:tblPr>
      <w:tblGrid>
        <w:gridCol w:w="2269"/>
        <w:gridCol w:w="1565"/>
        <w:gridCol w:w="1545"/>
        <w:gridCol w:w="1350"/>
        <w:gridCol w:w="1099"/>
      </w:tblGrid>
      <w:tr w:rsidR="00A64161" w:rsidRPr="00460D34" w:rsidTr="00460D34">
        <w:trPr>
          <w:trHeight w:hRule="exact" w:val="300"/>
          <w:jc w:val="center"/>
        </w:trPr>
        <w:tc>
          <w:tcPr>
            <w:tcW w:w="22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CLASE Y CATEGORIA</w:t>
            </w:r>
          </w:p>
        </w:tc>
        <w:tc>
          <w:tcPr>
            <w:tcW w:w="5559"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ACTIVOS FINANCIEROS A CORTO PLAZO</w:t>
            </w:r>
          </w:p>
        </w:tc>
      </w:tr>
      <w:tr w:rsidR="00A64161" w:rsidRPr="00460D34" w:rsidTr="00460D34">
        <w:trPr>
          <w:trHeight w:hRule="exact" w:val="90"/>
          <w:jc w:val="center"/>
        </w:trPr>
        <w:tc>
          <w:tcPr>
            <w:tcW w:w="2269" w:type="dxa"/>
            <w:vMerge w:val="restart"/>
            <w:tcBorders>
              <w:top w:val="nil"/>
              <w:left w:val="single" w:sz="4" w:space="0" w:color="auto"/>
              <w:bottom w:val="single" w:sz="4" w:space="0" w:color="auto"/>
              <w:right w:val="single" w:sz="4" w:space="0" w:color="auto"/>
            </w:tcBorders>
            <w:shd w:val="clear" w:color="000000" w:fill="FFFFFF"/>
            <w:noWrap/>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 </w:t>
            </w:r>
          </w:p>
        </w:tc>
        <w:tc>
          <w:tcPr>
            <w:tcW w:w="1565" w:type="dxa"/>
            <w:vMerge w:val="restart"/>
            <w:tcBorders>
              <w:top w:val="nil"/>
              <w:left w:val="single" w:sz="4" w:space="0" w:color="auto"/>
              <w:bottom w:val="single" w:sz="4" w:space="0" w:color="000000"/>
              <w:right w:val="single" w:sz="4" w:space="0" w:color="auto"/>
            </w:tcBorders>
            <w:shd w:val="clear" w:color="000000" w:fill="F2F2F2"/>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Instrumentos de patrimonio</w:t>
            </w:r>
          </w:p>
        </w:tc>
        <w:tc>
          <w:tcPr>
            <w:tcW w:w="1545" w:type="dxa"/>
            <w:tcBorders>
              <w:top w:val="nil"/>
              <w:left w:val="nil"/>
              <w:bottom w:val="nil"/>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p>
        </w:tc>
        <w:tc>
          <w:tcPr>
            <w:tcW w:w="1350" w:type="dxa"/>
            <w:vMerge w:val="restart"/>
            <w:tcBorders>
              <w:top w:val="nil"/>
              <w:left w:val="single" w:sz="4" w:space="0" w:color="auto"/>
              <w:bottom w:val="single" w:sz="4" w:space="0" w:color="000000"/>
              <w:right w:val="single" w:sz="4" w:space="0" w:color="auto"/>
            </w:tcBorders>
            <w:shd w:val="clear" w:color="000000" w:fill="F2F2F2"/>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Derivados, otros</w:t>
            </w:r>
          </w:p>
        </w:tc>
        <w:tc>
          <w:tcPr>
            <w:tcW w:w="1099" w:type="dxa"/>
            <w:vMerge w:val="restart"/>
            <w:tcBorders>
              <w:top w:val="nil"/>
              <w:left w:val="single" w:sz="4" w:space="0" w:color="auto"/>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Total</w:t>
            </w:r>
          </w:p>
        </w:tc>
      </w:tr>
      <w:tr w:rsidR="00A64161" w:rsidRPr="00460D34" w:rsidTr="00460D34">
        <w:trPr>
          <w:trHeight w:val="300"/>
          <w:jc w:val="center"/>
        </w:trPr>
        <w:tc>
          <w:tcPr>
            <w:tcW w:w="2269"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565"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545" w:type="dxa"/>
            <w:tcBorders>
              <w:top w:val="nil"/>
              <w:left w:val="nil"/>
              <w:bottom w:val="nil"/>
              <w:right w:val="single" w:sz="4" w:space="0" w:color="auto"/>
            </w:tcBorders>
            <w:shd w:val="clear" w:color="000000" w:fill="F2F2F2"/>
            <w:noWrap/>
            <w:vAlign w:val="bottom"/>
            <w:hideMark/>
          </w:tcPr>
          <w:p w:rsidR="00A64161" w:rsidRPr="00460D34" w:rsidRDefault="00460D34"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 xml:space="preserve">Valores </w:t>
            </w:r>
            <w:r w:rsidR="00A64161" w:rsidRPr="00460D34">
              <w:rPr>
                <w:rFonts w:ascii="Cambria" w:hAnsi="Cambria" w:cs="Calibri"/>
                <w:b/>
                <w:bCs/>
                <w:color w:val="000000"/>
                <w:sz w:val="16"/>
                <w:szCs w:val="18"/>
              </w:rPr>
              <w:t>representativo de</w:t>
            </w:r>
          </w:p>
        </w:tc>
        <w:tc>
          <w:tcPr>
            <w:tcW w:w="1350"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099"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r>
      <w:tr w:rsidR="00A64161" w:rsidRPr="00460D34" w:rsidTr="00460D34">
        <w:trPr>
          <w:trHeight w:val="70"/>
          <w:jc w:val="center"/>
        </w:trPr>
        <w:tc>
          <w:tcPr>
            <w:tcW w:w="2269"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565"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545" w:type="dxa"/>
            <w:tcBorders>
              <w:top w:val="nil"/>
              <w:left w:val="nil"/>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deuda</w:t>
            </w:r>
          </w:p>
        </w:tc>
        <w:tc>
          <w:tcPr>
            <w:tcW w:w="1350"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099"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r>
      <w:tr w:rsidR="0007387A" w:rsidRPr="00460D34" w:rsidTr="008A54B1">
        <w:trPr>
          <w:trHeight w:hRule="exact" w:val="300"/>
          <w:jc w:val="center"/>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rPr>
                <w:rFonts w:ascii="Cambria" w:hAnsi="Cambria" w:cs="Calibri"/>
                <w:color w:val="000000"/>
                <w:sz w:val="16"/>
                <w:szCs w:val="18"/>
                <w:lang w:val="es-ES_tradnl"/>
              </w:rPr>
            </w:pPr>
          </w:p>
        </w:tc>
        <w:tc>
          <w:tcPr>
            <w:tcW w:w="1565" w:type="dxa"/>
            <w:tcBorders>
              <w:top w:val="nil"/>
              <w:left w:val="nil"/>
              <w:bottom w:val="single" w:sz="4" w:space="0" w:color="auto"/>
              <w:right w:val="single" w:sz="4" w:space="0" w:color="auto"/>
            </w:tcBorders>
            <w:shd w:val="clear" w:color="000000" w:fill="FFFFFF"/>
            <w:noWrap/>
            <w:vAlign w:val="center"/>
            <w:hideMark/>
          </w:tcPr>
          <w:p w:rsidR="0007387A" w:rsidRDefault="0007387A" w:rsidP="008A54B1">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8A54B1">
            <w:pPr>
              <w:widowControl/>
              <w:autoSpaceDE/>
              <w:autoSpaceDN/>
              <w:adjustRightInd/>
              <w:jc w:val="center"/>
              <w:rPr>
                <w:rFonts w:ascii="Cambria" w:hAnsi="Cambria" w:cs="Calibri"/>
                <w:b/>
                <w:color w:val="000000"/>
                <w:sz w:val="16"/>
                <w:szCs w:val="18"/>
                <w:lang w:val="es-ES_tradnl"/>
              </w:rPr>
            </w:pP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545" w:type="dxa"/>
            <w:tcBorders>
              <w:top w:val="nil"/>
              <w:left w:val="nil"/>
              <w:bottom w:val="single" w:sz="4" w:space="0" w:color="auto"/>
              <w:right w:val="single" w:sz="4" w:space="0" w:color="auto"/>
            </w:tcBorders>
            <w:shd w:val="clear" w:color="000000" w:fill="FFFFFF"/>
            <w:noWrap/>
            <w:vAlign w:val="bottom"/>
            <w:hideMark/>
          </w:tcPr>
          <w:p w:rsidR="0007387A" w:rsidRDefault="0007387A" w:rsidP="008A54B1">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350" w:type="dxa"/>
            <w:tcBorders>
              <w:top w:val="nil"/>
              <w:left w:val="nil"/>
              <w:bottom w:val="single" w:sz="4" w:space="0" w:color="auto"/>
              <w:right w:val="single" w:sz="4" w:space="0" w:color="auto"/>
            </w:tcBorders>
            <w:shd w:val="clear" w:color="000000" w:fill="FFFFFF"/>
            <w:noWrap/>
            <w:vAlign w:val="bottom"/>
            <w:hideMark/>
          </w:tcPr>
          <w:p w:rsidR="0007387A" w:rsidRDefault="0007387A" w:rsidP="008A54B1">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099" w:type="dxa"/>
            <w:tcBorders>
              <w:top w:val="nil"/>
              <w:left w:val="nil"/>
              <w:bottom w:val="single" w:sz="4" w:space="0" w:color="auto"/>
              <w:right w:val="single" w:sz="4" w:space="0" w:color="auto"/>
            </w:tcBorders>
            <w:shd w:val="clear" w:color="000000" w:fill="FFFFFF"/>
            <w:noWrap/>
            <w:vAlign w:val="bottom"/>
            <w:hideMark/>
          </w:tcPr>
          <w:p w:rsidR="0007387A" w:rsidRDefault="0007387A" w:rsidP="008A54B1">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r>
      <w:tr w:rsidR="0007387A" w:rsidRPr="00460D34" w:rsidTr="00460D34">
        <w:trPr>
          <w:trHeight w:hRule="exact" w:val="300"/>
          <w:jc w:val="center"/>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rPr>
                <w:rFonts w:ascii="Cambria" w:hAnsi="Cambria" w:cs="Calibri"/>
                <w:color w:val="000000"/>
                <w:sz w:val="16"/>
                <w:szCs w:val="18"/>
              </w:rPr>
            </w:pPr>
            <w:r w:rsidRPr="00460D34">
              <w:rPr>
                <w:rFonts w:ascii="Cambria" w:hAnsi="Cambria" w:cs="Calibri"/>
                <w:color w:val="000000"/>
                <w:sz w:val="16"/>
                <w:szCs w:val="18"/>
                <w:lang w:val="es-ES_tradnl"/>
              </w:rPr>
              <w:t>Préstamos y partidas a cobrar</w:t>
            </w:r>
          </w:p>
        </w:tc>
        <w:tc>
          <w:tcPr>
            <w:tcW w:w="1565"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0,00</w:t>
            </w:r>
          </w:p>
        </w:tc>
        <w:tc>
          <w:tcPr>
            <w:tcW w:w="1545"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0,00</w:t>
            </w:r>
          </w:p>
        </w:tc>
        <w:tc>
          <w:tcPr>
            <w:tcW w:w="1350"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442.547,70</w:t>
            </w:r>
          </w:p>
        </w:tc>
        <w:tc>
          <w:tcPr>
            <w:tcW w:w="1099"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442.547,70</w:t>
            </w:r>
          </w:p>
        </w:tc>
      </w:tr>
      <w:tr w:rsidR="0007387A" w:rsidRPr="00460D34" w:rsidTr="00460D34">
        <w:trPr>
          <w:trHeight w:hRule="exact" w:val="300"/>
          <w:jc w:val="center"/>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TOTAL</w:t>
            </w:r>
          </w:p>
        </w:tc>
        <w:tc>
          <w:tcPr>
            <w:tcW w:w="1565"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0,00</w:t>
            </w:r>
          </w:p>
        </w:tc>
        <w:tc>
          <w:tcPr>
            <w:tcW w:w="1545"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0,00</w:t>
            </w:r>
          </w:p>
        </w:tc>
        <w:tc>
          <w:tcPr>
            <w:tcW w:w="1350"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442.547,70</w:t>
            </w:r>
          </w:p>
        </w:tc>
        <w:tc>
          <w:tcPr>
            <w:tcW w:w="1099"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442.547,70</w:t>
            </w:r>
          </w:p>
        </w:tc>
      </w:tr>
    </w:tbl>
    <w:p w:rsidR="00714748" w:rsidRPr="00DC6B29" w:rsidRDefault="00714748" w:rsidP="00FF6420">
      <w:pPr>
        <w:shd w:val="clear" w:color="auto" w:fill="FFFFFF"/>
        <w:rPr>
          <w:rFonts w:ascii="Times New Roman" w:hAnsi="Times New Roman" w:cs="Times New Roman"/>
          <w:spacing w:val="-2"/>
          <w:sz w:val="22"/>
          <w:szCs w:val="22"/>
          <w:lang w:eastAsia="es-ES_tradnl"/>
        </w:rPr>
      </w:pPr>
    </w:p>
    <w:p w:rsidR="006C0067" w:rsidRDefault="006C0067" w:rsidP="00934221">
      <w:pPr>
        <w:shd w:val="clear" w:color="auto" w:fill="FFFFFF"/>
        <w:ind w:left="720"/>
        <w:jc w:val="both"/>
        <w:rPr>
          <w:rFonts w:ascii="Times New Roman" w:hAnsi="Times New Roman" w:cs="Times New Roman"/>
          <w:sz w:val="22"/>
          <w:szCs w:val="22"/>
          <w:lang w:val="es-ES_tradnl" w:eastAsia="es-ES_tradnl"/>
        </w:rPr>
      </w:pPr>
      <w:r w:rsidRPr="00DC6B29">
        <w:rPr>
          <w:rFonts w:ascii="Times New Roman" w:hAnsi="Times New Roman" w:cs="Times New Roman"/>
          <w:spacing w:val="-2"/>
          <w:sz w:val="22"/>
          <w:szCs w:val="22"/>
          <w:lang w:val="es-ES_tradnl" w:eastAsia="es-ES_tradnl"/>
        </w:rPr>
        <w:t>La composición por categorías de los activos f</w:t>
      </w:r>
      <w:r w:rsidR="004F5453" w:rsidRPr="00DC6B29">
        <w:rPr>
          <w:rFonts w:ascii="Times New Roman" w:hAnsi="Times New Roman" w:cs="Times New Roman"/>
          <w:spacing w:val="-2"/>
          <w:sz w:val="22"/>
          <w:szCs w:val="22"/>
          <w:lang w:val="es-ES_tradnl" w:eastAsia="es-ES_tradnl"/>
        </w:rPr>
        <w:t xml:space="preserve">inancieros </w:t>
      </w:r>
      <w:r w:rsidRPr="00DC6B29">
        <w:rPr>
          <w:rFonts w:ascii="Times New Roman" w:hAnsi="Times New Roman" w:cs="Times New Roman"/>
          <w:spacing w:val="-2"/>
          <w:sz w:val="22"/>
          <w:szCs w:val="22"/>
          <w:lang w:val="es-ES_tradnl" w:eastAsia="es-ES_tradnl"/>
        </w:rPr>
        <w:t>a corto plazo</w:t>
      </w:r>
      <w:r w:rsidR="004F5453" w:rsidRPr="00DC6B29">
        <w:rPr>
          <w:rFonts w:ascii="Times New Roman" w:hAnsi="Times New Roman" w:cs="Times New Roman"/>
          <w:spacing w:val="-2"/>
          <w:sz w:val="22"/>
          <w:szCs w:val="22"/>
          <w:lang w:val="es-ES_tradnl" w:eastAsia="es-ES_tradnl"/>
        </w:rPr>
        <w:t xml:space="preserve"> </w:t>
      </w:r>
      <w:r w:rsidR="00DD114E" w:rsidRPr="00DC6B29">
        <w:rPr>
          <w:rFonts w:ascii="Times New Roman" w:hAnsi="Times New Roman" w:cs="Times New Roman"/>
          <w:spacing w:val="-2"/>
          <w:sz w:val="22"/>
          <w:szCs w:val="22"/>
          <w:lang w:val="es-ES_tradnl" w:eastAsia="es-ES_tradnl"/>
        </w:rPr>
        <w:t>en el ejercicio 2</w:t>
      </w:r>
      <w:r w:rsidR="003A25E8" w:rsidRPr="00DC6B29">
        <w:rPr>
          <w:rFonts w:ascii="Times New Roman" w:hAnsi="Times New Roman" w:cs="Times New Roman"/>
          <w:spacing w:val="-2"/>
          <w:sz w:val="22"/>
          <w:szCs w:val="22"/>
          <w:lang w:val="es-ES_tradnl" w:eastAsia="es-ES_tradnl"/>
        </w:rPr>
        <w:t>019</w:t>
      </w:r>
      <w:r w:rsidR="00884FA1" w:rsidRPr="00DC6B29">
        <w:rPr>
          <w:rFonts w:ascii="Times New Roman" w:hAnsi="Times New Roman" w:cs="Times New Roman"/>
          <w:spacing w:val="-2"/>
          <w:sz w:val="22"/>
          <w:szCs w:val="22"/>
          <w:lang w:val="es-ES_tradnl" w:eastAsia="es-ES_tradnl"/>
        </w:rPr>
        <w:t xml:space="preserve"> fue </w:t>
      </w:r>
      <w:r w:rsidRPr="00DC6B29">
        <w:rPr>
          <w:rFonts w:ascii="Times New Roman" w:hAnsi="Times New Roman" w:cs="Times New Roman"/>
          <w:sz w:val="22"/>
          <w:szCs w:val="22"/>
          <w:lang w:val="es-ES_tradnl" w:eastAsia="es-ES_tradnl"/>
        </w:rPr>
        <w:t xml:space="preserve">la </w:t>
      </w:r>
      <w:r w:rsidRPr="003A25E8">
        <w:rPr>
          <w:rFonts w:ascii="Times New Roman" w:hAnsi="Times New Roman" w:cs="Times New Roman"/>
          <w:sz w:val="22"/>
          <w:szCs w:val="22"/>
          <w:lang w:val="es-ES_tradnl" w:eastAsia="es-ES_tradnl"/>
        </w:rPr>
        <w:t>siguiente:</w:t>
      </w:r>
    </w:p>
    <w:p w:rsidR="00A64161" w:rsidRPr="003A25E8" w:rsidRDefault="00A64161" w:rsidP="00934221">
      <w:pPr>
        <w:shd w:val="clear" w:color="auto" w:fill="FFFFFF"/>
        <w:ind w:left="720"/>
        <w:jc w:val="both"/>
        <w:rPr>
          <w:rFonts w:ascii="Times New Roman" w:hAnsi="Times New Roman" w:cs="Times New Roman"/>
          <w:sz w:val="22"/>
          <w:szCs w:val="22"/>
          <w:lang w:val="es-ES_tradnl" w:eastAsia="es-ES_tradnl"/>
        </w:rPr>
      </w:pPr>
    </w:p>
    <w:tbl>
      <w:tblPr>
        <w:tblW w:w="7972" w:type="dxa"/>
        <w:jc w:val="center"/>
        <w:tblInd w:w="284" w:type="dxa"/>
        <w:tblCellMar>
          <w:left w:w="70" w:type="dxa"/>
          <w:right w:w="70" w:type="dxa"/>
        </w:tblCellMar>
        <w:tblLook w:val="04A0"/>
      </w:tblPr>
      <w:tblGrid>
        <w:gridCol w:w="2232"/>
        <w:gridCol w:w="1565"/>
        <w:gridCol w:w="1726"/>
        <w:gridCol w:w="1350"/>
        <w:gridCol w:w="1099"/>
      </w:tblGrid>
      <w:tr w:rsidR="00A64161" w:rsidRPr="00460D34" w:rsidTr="00460D34">
        <w:trPr>
          <w:trHeight w:hRule="exact" w:val="300"/>
          <w:jc w:val="center"/>
        </w:trPr>
        <w:tc>
          <w:tcPr>
            <w:tcW w:w="223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CLASE Y CATEGORIA</w:t>
            </w:r>
          </w:p>
        </w:tc>
        <w:tc>
          <w:tcPr>
            <w:tcW w:w="5740"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ACTIVOS FINANCIEROS A CORTO PLAZO</w:t>
            </w:r>
          </w:p>
        </w:tc>
      </w:tr>
      <w:tr w:rsidR="00A64161" w:rsidRPr="00460D34" w:rsidTr="00460D34">
        <w:trPr>
          <w:trHeight w:hRule="exact" w:val="90"/>
          <w:jc w:val="center"/>
        </w:trPr>
        <w:tc>
          <w:tcPr>
            <w:tcW w:w="2232" w:type="dxa"/>
            <w:vMerge w:val="restart"/>
            <w:tcBorders>
              <w:top w:val="nil"/>
              <w:left w:val="single" w:sz="4" w:space="0" w:color="auto"/>
              <w:bottom w:val="single" w:sz="4" w:space="0" w:color="auto"/>
              <w:right w:val="single" w:sz="4" w:space="0" w:color="auto"/>
            </w:tcBorders>
            <w:shd w:val="clear" w:color="000000" w:fill="FFFFFF"/>
            <w:noWrap/>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 </w:t>
            </w:r>
          </w:p>
        </w:tc>
        <w:tc>
          <w:tcPr>
            <w:tcW w:w="1565" w:type="dxa"/>
            <w:vMerge w:val="restart"/>
            <w:tcBorders>
              <w:top w:val="nil"/>
              <w:left w:val="single" w:sz="4" w:space="0" w:color="auto"/>
              <w:bottom w:val="single" w:sz="4" w:space="0" w:color="000000"/>
              <w:right w:val="single" w:sz="4" w:space="0" w:color="auto"/>
            </w:tcBorders>
            <w:shd w:val="clear" w:color="000000" w:fill="F2F2F2"/>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Instrumentos de patrimonio</w:t>
            </w:r>
          </w:p>
        </w:tc>
        <w:tc>
          <w:tcPr>
            <w:tcW w:w="1726" w:type="dxa"/>
            <w:tcBorders>
              <w:top w:val="nil"/>
              <w:left w:val="nil"/>
              <w:bottom w:val="nil"/>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p>
        </w:tc>
        <w:tc>
          <w:tcPr>
            <w:tcW w:w="1350" w:type="dxa"/>
            <w:vMerge w:val="restart"/>
            <w:tcBorders>
              <w:top w:val="nil"/>
              <w:left w:val="single" w:sz="4" w:space="0" w:color="auto"/>
              <w:bottom w:val="single" w:sz="4" w:space="0" w:color="000000"/>
              <w:right w:val="single" w:sz="4" w:space="0" w:color="auto"/>
            </w:tcBorders>
            <w:shd w:val="clear" w:color="000000" w:fill="F2F2F2"/>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Derivados, otros</w:t>
            </w:r>
          </w:p>
        </w:tc>
        <w:tc>
          <w:tcPr>
            <w:tcW w:w="1099" w:type="dxa"/>
            <w:vMerge w:val="restart"/>
            <w:tcBorders>
              <w:top w:val="nil"/>
              <w:left w:val="single" w:sz="4" w:space="0" w:color="auto"/>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Total</w:t>
            </w:r>
          </w:p>
        </w:tc>
      </w:tr>
      <w:tr w:rsidR="00A64161" w:rsidRPr="00460D34" w:rsidTr="00460D34">
        <w:trPr>
          <w:trHeight w:val="300"/>
          <w:jc w:val="center"/>
        </w:trPr>
        <w:tc>
          <w:tcPr>
            <w:tcW w:w="2232"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565"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726" w:type="dxa"/>
            <w:tcBorders>
              <w:top w:val="nil"/>
              <w:left w:val="nil"/>
              <w:bottom w:val="nil"/>
              <w:right w:val="single" w:sz="4" w:space="0" w:color="auto"/>
            </w:tcBorders>
            <w:shd w:val="clear" w:color="000000" w:fill="F2F2F2"/>
            <w:noWrap/>
            <w:vAlign w:val="bottom"/>
            <w:hideMark/>
          </w:tcPr>
          <w:p w:rsidR="00A64161" w:rsidRPr="00460D34" w:rsidRDefault="00460D34"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 xml:space="preserve">Valores </w:t>
            </w:r>
            <w:r>
              <w:rPr>
                <w:rFonts w:ascii="Cambria" w:hAnsi="Cambria" w:cs="Calibri"/>
                <w:b/>
                <w:bCs/>
                <w:color w:val="000000"/>
                <w:sz w:val="16"/>
                <w:szCs w:val="18"/>
              </w:rPr>
              <w:t xml:space="preserve"> </w:t>
            </w:r>
            <w:r w:rsidR="00A64161" w:rsidRPr="00460D34">
              <w:rPr>
                <w:rFonts w:ascii="Cambria" w:hAnsi="Cambria" w:cs="Calibri"/>
                <w:b/>
                <w:bCs/>
                <w:color w:val="000000"/>
                <w:sz w:val="16"/>
                <w:szCs w:val="18"/>
              </w:rPr>
              <w:t>representativo de</w:t>
            </w:r>
          </w:p>
        </w:tc>
        <w:tc>
          <w:tcPr>
            <w:tcW w:w="1350"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099"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r>
      <w:tr w:rsidR="00A64161" w:rsidRPr="00460D34" w:rsidTr="00460D34">
        <w:trPr>
          <w:trHeight w:val="70"/>
          <w:jc w:val="center"/>
        </w:trPr>
        <w:tc>
          <w:tcPr>
            <w:tcW w:w="2232"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565"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726" w:type="dxa"/>
            <w:tcBorders>
              <w:top w:val="nil"/>
              <w:left w:val="nil"/>
              <w:bottom w:val="single" w:sz="4" w:space="0" w:color="auto"/>
              <w:right w:val="single" w:sz="4" w:space="0" w:color="auto"/>
            </w:tcBorders>
            <w:shd w:val="clear" w:color="000000" w:fill="F2F2F2"/>
            <w:noWrap/>
            <w:vAlign w:val="bottom"/>
            <w:hideMark/>
          </w:tcPr>
          <w:p w:rsidR="00A64161" w:rsidRPr="00460D34" w:rsidRDefault="00A64161"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rPr>
              <w:t>deuda</w:t>
            </w:r>
          </w:p>
        </w:tc>
        <w:tc>
          <w:tcPr>
            <w:tcW w:w="1350" w:type="dxa"/>
            <w:vMerge/>
            <w:tcBorders>
              <w:top w:val="nil"/>
              <w:left w:val="single" w:sz="4" w:space="0" w:color="auto"/>
              <w:bottom w:val="single" w:sz="4" w:space="0" w:color="000000"/>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c>
          <w:tcPr>
            <w:tcW w:w="1099" w:type="dxa"/>
            <w:vMerge/>
            <w:tcBorders>
              <w:top w:val="nil"/>
              <w:left w:val="single" w:sz="4" w:space="0" w:color="auto"/>
              <w:bottom w:val="single" w:sz="4" w:space="0" w:color="auto"/>
              <w:right w:val="single" w:sz="4" w:space="0" w:color="auto"/>
            </w:tcBorders>
            <w:vAlign w:val="center"/>
            <w:hideMark/>
          </w:tcPr>
          <w:p w:rsidR="00A64161" w:rsidRPr="00460D34" w:rsidRDefault="00A64161" w:rsidP="00A64161">
            <w:pPr>
              <w:widowControl/>
              <w:autoSpaceDE/>
              <w:autoSpaceDN/>
              <w:adjustRightInd/>
              <w:rPr>
                <w:rFonts w:ascii="Cambria" w:hAnsi="Cambria" w:cs="Calibri"/>
                <w:b/>
                <w:bCs/>
                <w:color w:val="000000"/>
                <w:sz w:val="16"/>
                <w:szCs w:val="18"/>
              </w:rPr>
            </w:pPr>
          </w:p>
        </w:tc>
      </w:tr>
      <w:tr w:rsidR="0007387A" w:rsidRPr="00460D34" w:rsidTr="008A54B1">
        <w:trPr>
          <w:trHeight w:hRule="exact" w:val="300"/>
          <w:jc w:val="center"/>
        </w:trPr>
        <w:tc>
          <w:tcPr>
            <w:tcW w:w="2232" w:type="dxa"/>
            <w:tcBorders>
              <w:top w:val="nil"/>
              <w:left w:val="single" w:sz="4" w:space="0" w:color="auto"/>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rPr>
                <w:rFonts w:ascii="Cambria" w:hAnsi="Cambria" w:cs="Calibri"/>
                <w:color w:val="000000"/>
                <w:sz w:val="16"/>
                <w:szCs w:val="18"/>
                <w:lang w:val="es-ES_tradnl"/>
              </w:rPr>
            </w:pPr>
          </w:p>
        </w:tc>
        <w:tc>
          <w:tcPr>
            <w:tcW w:w="1565" w:type="dxa"/>
            <w:tcBorders>
              <w:top w:val="nil"/>
              <w:left w:val="nil"/>
              <w:bottom w:val="single" w:sz="4" w:space="0" w:color="auto"/>
              <w:right w:val="single" w:sz="4" w:space="0" w:color="auto"/>
            </w:tcBorders>
            <w:shd w:val="clear" w:color="000000" w:fill="FFFFFF"/>
            <w:noWrap/>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726" w:type="dxa"/>
            <w:tcBorders>
              <w:top w:val="nil"/>
              <w:left w:val="nil"/>
              <w:bottom w:val="single" w:sz="4" w:space="0" w:color="auto"/>
              <w:right w:val="single" w:sz="4" w:space="0" w:color="auto"/>
            </w:tcBorders>
            <w:shd w:val="clear" w:color="000000" w:fill="FFFFFF"/>
            <w:noWrap/>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350" w:type="dxa"/>
            <w:tcBorders>
              <w:top w:val="nil"/>
              <w:left w:val="nil"/>
              <w:bottom w:val="single" w:sz="4" w:space="0" w:color="auto"/>
              <w:right w:val="single" w:sz="4" w:space="0" w:color="auto"/>
            </w:tcBorders>
            <w:shd w:val="clear" w:color="000000" w:fill="FFFFFF"/>
            <w:noWrap/>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099" w:type="dxa"/>
            <w:tcBorders>
              <w:top w:val="nil"/>
              <w:left w:val="nil"/>
              <w:bottom w:val="single" w:sz="4" w:space="0" w:color="auto"/>
              <w:right w:val="single" w:sz="4" w:space="0" w:color="auto"/>
            </w:tcBorders>
            <w:shd w:val="clear" w:color="000000" w:fill="FFFFFF"/>
            <w:noWrap/>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r>
      <w:tr w:rsidR="0007387A" w:rsidRPr="00460D34" w:rsidTr="00460D34">
        <w:trPr>
          <w:trHeight w:hRule="exact" w:val="300"/>
          <w:jc w:val="center"/>
        </w:trPr>
        <w:tc>
          <w:tcPr>
            <w:tcW w:w="2232" w:type="dxa"/>
            <w:tcBorders>
              <w:top w:val="nil"/>
              <w:left w:val="single" w:sz="4" w:space="0" w:color="auto"/>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rPr>
                <w:rFonts w:ascii="Cambria" w:hAnsi="Cambria" w:cs="Calibri"/>
                <w:color w:val="000000"/>
                <w:sz w:val="16"/>
                <w:szCs w:val="18"/>
              </w:rPr>
            </w:pPr>
            <w:r w:rsidRPr="00460D34">
              <w:rPr>
                <w:rFonts w:ascii="Cambria" w:hAnsi="Cambria" w:cs="Calibri"/>
                <w:color w:val="000000"/>
                <w:sz w:val="16"/>
                <w:szCs w:val="18"/>
                <w:lang w:val="es-ES_tradnl"/>
              </w:rPr>
              <w:t>Préstamos y partidas a cobrar</w:t>
            </w:r>
          </w:p>
        </w:tc>
        <w:tc>
          <w:tcPr>
            <w:tcW w:w="1565"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0,00</w:t>
            </w:r>
          </w:p>
        </w:tc>
        <w:tc>
          <w:tcPr>
            <w:tcW w:w="1726"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0,00</w:t>
            </w:r>
          </w:p>
        </w:tc>
        <w:tc>
          <w:tcPr>
            <w:tcW w:w="1350"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482.913,97</w:t>
            </w:r>
          </w:p>
        </w:tc>
        <w:tc>
          <w:tcPr>
            <w:tcW w:w="1099"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color w:val="000000"/>
                <w:sz w:val="16"/>
                <w:szCs w:val="18"/>
              </w:rPr>
            </w:pPr>
            <w:r w:rsidRPr="00460D34">
              <w:rPr>
                <w:rFonts w:ascii="Cambria" w:hAnsi="Cambria" w:cs="Calibri"/>
                <w:color w:val="000000"/>
                <w:sz w:val="16"/>
                <w:szCs w:val="18"/>
                <w:lang w:val="es-ES_tradnl"/>
              </w:rPr>
              <w:t>482.913,97</w:t>
            </w:r>
          </w:p>
        </w:tc>
      </w:tr>
      <w:tr w:rsidR="0007387A" w:rsidRPr="00460D34" w:rsidTr="00460D34">
        <w:trPr>
          <w:trHeight w:hRule="exact" w:val="300"/>
          <w:jc w:val="center"/>
        </w:trPr>
        <w:tc>
          <w:tcPr>
            <w:tcW w:w="2232" w:type="dxa"/>
            <w:tcBorders>
              <w:top w:val="nil"/>
              <w:left w:val="single" w:sz="4" w:space="0" w:color="auto"/>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TOTAL</w:t>
            </w:r>
          </w:p>
        </w:tc>
        <w:tc>
          <w:tcPr>
            <w:tcW w:w="1565"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0,00</w:t>
            </w:r>
          </w:p>
        </w:tc>
        <w:tc>
          <w:tcPr>
            <w:tcW w:w="1726"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0,00</w:t>
            </w:r>
          </w:p>
        </w:tc>
        <w:tc>
          <w:tcPr>
            <w:tcW w:w="1350"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482.913,97</w:t>
            </w:r>
          </w:p>
        </w:tc>
        <w:tc>
          <w:tcPr>
            <w:tcW w:w="1099" w:type="dxa"/>
            <w:tcBorders>
              <w:top w:val="nil"/>
              <w:left w:val="nil"/>
              <w:bottom w:val="single" w:sz="4" w:space="0" w:color="auto"/>
              <w:right w:val="single" w:sz="4" w:space="0" w:color="auto"/>
            </w:tcBorders>
            <w:shd w:val="clear" w:color="000000" w:fill="FFFFFF"/>
            <w:noWrap/>
            <w:vAlign w:val="bottom"/>
            <w:hideMark/>
          </w:tcPr>
          <w:p w:rsidR="0007387A" w:rsidRPr="00460D34" w:rsidRDefault="0007387A" w:rsidP="00A64161">
            <w:pPr>
              <w:widowControl/>
              <w:autoSpaceDE/>
              <w:autoSpaceDN/>
              <w:adjustRightInd/>
              <w:jc w:val="center"/>
              <w:rPr>
                <w:rFonts w:ascii="Cambria" w:hAnsi="Cambria" w:cs="Calibri"/>
                <w:b/>
                <w:bCs/>
                <w:color w:val="000000"/>
                <w:sz w:val="16"/>
                <w:szCs w:val="18"/>
              </w:rPr>
            </w:pPr>
            <w:r w:rsidRPr="00460D34">
              <w:rPr>
                <w:rFonts w:ascii="Cambria" w:hAnsi="Cambria" w:cs="Calibri"/>
                <w:b/>
                <w:bCs/>
                <w:color w:val="000000"/>
                <w:sz w:val="16"/>
                <w:szCs w:val="18"/>
                <w:lang w:val="es-ES_tradnl"/>
              </w:rPr>
              <w:t>482.913,97</w:t>
            </w:r>
          </w:p>
        </w:tc>
      </w:tr>
    </w:tbl>
    <w:p w:rsidR="00884FA1" w:rsidRPr="00321047" w:rsidRDefault="00884FA1" w:rsidP="00934221">
      <w:pPr>
        <w:shd w:val="clear" w:color="auto" w:fill="FFFFFF"/>
        <w:ind w:left="720"/>
        <w:jc w:val="both"/>
        <w:rPr>
          <w:rFonts w:ascii="Times New Roman" w:hAnsi="Times New Roman" w:cs="Times New Roman"/>
          <w:color w:val="0000FF"/>
          <w:sz w:val="22"/>
          <w:szCs w:val="22"/>
          <w:lang w:val="es-ES_tradnl" w:eastAsia="es-ES_tradnl"/>
        </w:rPr>
      </w:pPr>
    </w:p>
    <w:p w:rsidR="00884FA1" w:rsidRPr="00321047" w:rsidRDefault="00884FA1" w:rsidP="00934221">
      <w:pPr>
        <w:shd w:val="clear" w:color="auto" w:fill="FFFFFF"/>
        <w:ind w:left="720"/>
        <w:jc w:val="both"/>
        <w:rPr>
          <w:rFonts w:ascii="Times New Roman" w:hAnsi="Times New Roman" w:cs="Times New Roman"/>
          <w:color w:val="0000FF"/>
          <w:sz w:val="22"/>
          <w:szCs w:val="22"/>
          <w:lang w:val="es-ES_tradnl" w:eastAsia="es-ES_tradnl"/>
        </w:rPr>
      </w:pPr>
    </w:p>
    <w:p w:rsidR="001D2E73" w:rsidRPr="001F5027" w:rsidRDefault="001F5027" w:rsidP="00934221">
      <w:pPr>
        <w:shd w:val="clear" w:color="auto" w:fill="FFFFFF"/>
        <w:ind w:left="720"/>
        <w:jc w:val="both"/>
        <w:rPr>
          <w:rFonts w:ascii="Times New Roman" w:hAnsi="Times New Roman" w:cs="Times New Roman"/>
          <w:sz w:val="22"/>
          <w:szCs w:val="22"/>
          <w:lang w:val="es-ES_tradnl" w:eastAsia="es-ES_tradnl"/>
        </w:rPr>
      </w:pPr>
      <w:r w:rsidRPr="001F5027">
        <w:rPr>
          <w:rFonts w:ascii="Times New Roman" w:hAnsi="Times New Roman" w:cs="Times New Roman"/>
          <w:sz w:val="22"/>
          <w:szCs w:val="22"/>
          <w:lang w:val="es-ES_tradnl" w:eastAsia="es-ES_tradnl"/>
        </w:rPr>
        <w:t>No existen correcciones valorativas originadas por el riesgo de crédito.</w:t>
      </w:r>
    </w:p>
    <w:p w:rsidR="003A25E8" w:rsidRDefault="003A25E8" w:rsidP="00934221">
      <w:pPr>
        <w:shd w:val="clear" w:color="auto" w:fill="FFFFFF"/>
        <w:ind w:firstLine="709"/>
        <w:jc w:val="both"/>
        <w:rPr>
          <w:rFonts w:ascii="Times New Roman" w:hAnsi="Times New Roman" w:cs="Times New Roman"/>
          <w:b/>
          <w:color w:val="0000FF"/>
          <w:sz w:val="22"/>
          <w:szCs w:val="22"/>
          <w:lang w:val="es-ES_tradnl" w:eastAsia="es-ES_tradnl"/>
        </w:rPr>
      </w:pPr>
    </w:p>
    <w:p w:rsidR="00205A13" w:rsidRDefault="00205A13" w:rsidP="001F5027">
      <w:pPr>
        <w:shd w:val="clear" w:color="auto" w:fill="FFFFFF"/>
        <w:ind w:left="709"/>
        <w:jc w:val="both"/>
        <w:rPr>
          <w:rFonts w:ascii="Times New Roman" w:hAnsi="Times New Roman" w:cs="Times New Roman"/>
          <w:b/>
          <w:spacing w:val="-2"/>
          <w:sz w:val="22"/>
          <w:szCs w:val="22"/>
          <w:u w:val="single"/>
          <w:lang w:val="es-ES_tradnl" w:eastAsia="es-ES_tradnl"/>
        </w:rPr>
      </w:pPr>
    </w:p>
    <w:p w:rsidR="00205A13" w:rsidRDefault="00205A13" w:rsidP="001F5027">
      <w:pPr>
        <w:shd w:val="clear" w:color="auto" w:fill="FFFFFF"/>
        <w:ind w:left="709"/>
        <w:jc w:val="both"/>
        <w:rPr>
          <w:rFonts w:ascii="Times New Roman" w:hAnsi="Times New Roman" w:cs="Times New Roman"/>
          <w:b/>
          <w:spacing w:val="-2"/>
          <w:sz w:val="22"/>
          <w:szCs w:val="22"/>
          <w:u w:val="single"/>
          <w:lang w:val="es-ES_tradnl" w:eastAsia="es-ES_tradnl"/>
        </w:rPr>
      </w:pPr>
    </w:p>
    <w:p w:rsidR="00205A13" w:rsidRDefault="00205A13" w:rsidP="001F5027">
      <w:pPr>
        <w:shd w:val="clear" w:color="auto" w:fill="FFFFFF"/>
        <w:ind w:left="709"/>
        <w:jc w:val="both"/>
        <w:rPr>
          <w:rFonts w:ascii="Times New Roman" w:hAnsi="Times New Roman" w:cs="Times New Roman"/>
          <w:b/>
          <w:spacing w:val="-2"/>
          <w:sz w:val="22"/>
          <w:szCs w:val="22"/>
          <w:u w:val="single"/>
          <w:lang w:val="es-ES_tradnl" w:eastAsia="es-ES_tradnl"/>
        </w:rPr>
      </w:pPr>
    </w:p>
    <w:p w:rsidR="00205A13" w:rsidRDefault="00205A13" w:rsidP="001F5027">
      <w:pPr>
        <w:shd w:val="clear" w:color="auto" w:fill="FFFFFF"/>
        <w:ind w:left="709"/>
        <w:jc w:val="both"/>
        <w:rPr>
          <w:rFonts w:ascii="Times New Roman" w:hAnsi="Times New Roman" w:cs="Times New Roman"/>
          <w:b/>
          <w:spacing w:val="-2"/>
          <w:sz w:val="22"/>
          <w:szCs w:val="22"/>
          <w:u w:val="single"/>
          <w:lang w:val="es-ES_tradnl" w:eastAsia="es-ES_tradnl"/>
        </w:rPr>
      </w:pPr>
    </w:p>
    <w:p w:rsidR="00205A13" w:rsidRDefault="00205A13" w:rsidP="001F5027">
      <w:pPr>
        <w:shd w:val="clear" w:color="auto" w:fill="FFFFFF"/>
        <w:ind w:left="709"/>
        <w:jc w:val="both"/>
        <w:rPr>
          <w:rFonts w:ascii="Times New Roman" w:hAnsi="Times New Roman" w:cs="Times New Roman"/>
          <w:b/>
          <w:spacing w:val="-2"/>
          <w:sz w:val="22"/>
          <w:szCs w:val="22"/>
          <w:u w:val="single"/>
          <w:lang w:val="es-ES_tradnl" w:eastAsia="es-ES_tradnl"/>
        </w:rPr>
      </w:pPr>
    </w:p>
    <w:p w:rsidR="00205A13" w:rsidRDefault="00205A13" w:rsidP="001F5027">
      <w:pPr>
        <w:shd w:val="clear" w:color="auto" w:fill="FFFFFF"/>
        <w:ind w:left="709"/>
        <w:jc w:val="both"/>
        <w:rPr>
          <w:rFonts w:ascii="Times New Roman" w:hAnsi="Times New Roman" w:cs="Times New Roman"/>
          <w:b/>
          <w:spacing w:val="-2"/>
          <w:sz w:val="22"/>
          <w:szCs w:val="22"/>
          <w:u w:val="single"/>
          <w:lang w:val="es-ES_tradnl" w:eastAsia="es-ES_tradnl"/>
        </w:rPr>
      </w:pPr>
    </w:p>
    <w:p w:rsidR="001F5027" w:rsidRPr="001F5027"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Pr>
          <w:rFonts w:ascii="Times New Roman" w:hAnsi="Times New Roman" w:cs="Times New Roman"/>
          <w:b/>
          <w:spacing w:val="-2"/>
          <w:sz w:val="22"/>
          <w:szCs w:val="22"/>
          <w:u w:val="single"/>
          <w:lang w:val="es-ES_tradnl" w:eastAsia="es-ES_tradnl"/>
        </w:rPr>
        <w:t>B</w:t>
      </w:r>
      <w:r w:rsidRPr="001F5027">
        <w:rPr>
          <w:rFonts w:ascii="Times New Roman" w:hAnsi="Times New Roman" w:cs="Times New Roman"/>
          <w:b/>
          <w:spacing w:val="-2"/>
          <w:sz w:val="22"/>
          <w:szCs w:val="22"/>
          <w:u w:val="single"/>
          <w:lang w:val="es-ES_tradnl" w:eastAsia="es-ES_tradnl"/>
        </w:rPr>
        <w:t xml:space="preserve">) </w:t>
      </w:r>
      <w:r>
        <w:rPr>
          <w:rFonts w:ascii="Times New Roman" w:hAnsi="Times New Roman" w:cs="Times New Roman"/>
          <w:b/>
          <w:spacing w:val="-2"/>
          <w:sz w:val="22"/>
          <w:szCs w:val="22"/>
          <w:u w:val="single"/>
          <w:lang w:val="es-ES_tradnl" w:eastAsia="es-ES_tradnl"/>
        </w:rPr>
        <w:t>PASIVOS</w:t>
      </w:r>
      <w:r w:rsidRPr="001F5027">
        <w:rPr>
          <w:rFonts w:ascii="Times New Roman" w:hAnsi="Times New Roman" w:cs="Times New Roman"/>
          <w:b/>
          <w:spacing w:val="-2"/>
          <w:sz w:val="22"/>
          <w:szCs w:val="22"/>
          <w:u w:val="single"/>
          <w:lang w:val="es-ES_tradnl" w:eastAsia="es-ES_tradnl"/>
        </w:rPr>
        <w:t xml:space="preserve"> FINANCIEROS</w:t>
      </w:r>
    </w:p>
    <w:p w:rsidR="006C0067" w:rsidRPr="00CD0825" w:rsidRDefault="006C0067" w:rsidP="006C0067">
      <w:pPr>
        <w:shd w:val="clear" w:color="auto" w:fill="FFFFFF"/>
        <w:ind w:left="1260"/>
        <w:jc w:val="both"/>
        <w:rPr>
          <w:rFonts w:ascii="Times New Roman" w:hAnsi="Times New Roman" w:cs="Times New Roman"/>
          <w:b/>
          <w:sz w:val="22"/>
          <w:szCs w:val="22"/>
          <w:u w:val="double"/>
          <w:lang w:val="es-ES_tradnl" w:eastAsia="es-ES_tradnl"/>
        </w:rPr>
      </w:pPr>
    </w:p>
    <w:p w:rsidR="007F07F9" w:rsidRPr="00DC6B29" w:rsidRDefault="001F5027" w:rsidP="007F07F9">
      <w:pPr>
        <w:shd w:val="clear" w:color="auto" w:fill="FFFFFF"/>
        <w:ind w:left="720"/>
        <w:jc w:val="both"/>
        <w:rPr>
          <w:rFonts w:ascii="Times New Roman" w:hAnsi="Times New Roman" w:cs="Times New Roman"/>
          <w:sz w:val="22"/>
          <w:szCs w:val="22"/>
          <w:lang w:val="es-ES_tradnl" w:eastAsia="es-ES_tradnl"/>
        </w:rPr>
      </w:pPr>
      <w:r>
        <w:rPr>
          <w:rFonts w:ascii="Times New Roman" w:hAnsi="Times New Roman" w:cs="Times New Roman"/>
          <w:b/>
          <w:spacing w:val="-2"/>
          <w:sz w:val="22"/>
          <w:szCs w:val="22"/>
          <w:lang w:val="es-ES_tradnl" w:eastAsia="es-ES_tradnl"/>
        </w:rPr>
        <w:t>B.1</w:t>
      </w:r>
      <w:r w:rsidR="007F07F9" w:rsidRPr="00DC6B29">
        <w:rPr>
          <w:rFonts w:ascii="Times New Roman" w:hAnsi="Times New Roman" w:cs="Times New Roman"/>
          <w:b/>
          <w:spacing w:val="-2"/>
          <w:sz w:val="22"/>
          <w:szCs w:val="22"/>
          <w:lang w:val="es-ES_tradnl" w:eastAsia="es-ES_tradnl"/>
        </w:rPr>
        <w:t>.</w:t>
      </w:r>
      <w:r w:rsidR="007F07F9" w:rsidRPr="00DC6B29">
        <w:rPr>
          <w:rFonts w:ascii="Times New Roman" w:hAnsi="Times New Roman" w:cs="Times New Roman"/>
          <w:spacing w:val="-2"/>
          <w:sz w:val="22"/>
          <w:szCs w:val="22"/>
          <w:lang w:val="es-ES_tradnl" w:eastAsia="es-ES_tradnl"/>
        </w:rPr>
        <w:t xml:space="preserve"> </w:t>
      </w:r>
      <w:r w:rsidR="00137FCE">
        <w:rPr>
          <w:rFonts w:ascii="Times New Roman" w:hAnsi="Times New Roman" w:cs="Times New Roman"/>
          <w:spacing w:val="-2"/>
          <w:sz w:val="22"/>
          <w:szCs w:val="22"/>
          <w:lang w:val="es-ES_tradnl" w:eastAsia="es-ES_tradnl"/>
        </w:rPr>
        <w:t xml:space="preserve">No existen pasivos financieros a largo plazo. </w:t>
      </w:r>
      <w:r w:rsidR="007F07F9" w:rsidRPr="00DC6B29">
        <w:rPr>
          <w:rFonts w:ascii="Times New Roman" w:hAnsi="Times New Roman" w:cs="Times New Roman"/>
          <w:spacing w:val="-2"/>
          <w:sz w:val="22"/>
          <w:szCs w:val="22"/>
          <w:lang w:val="es-ES_tradnl" w:eastAsia="es-ES_tradnl"/>
        </w:rPr>
        <w:t xml:space="preserve">La composición por categorías de los </w:t>
      </w:r>
      <w:r w:rsidR="007F07F9">
        <w:rPr>
          <w:rFonts w:ascii="Times New Roman" w:hAnsi="Times New Roman" w:cs="Times New Roman"/>
          <w:spacing w:val="-2"/>
          <w:sz w:val="22"/>
          <w:szCs w:val="22"/>
          <w:lang w:val="es-ES_tradnl" w:eastAsia="es-ES_tradnl"/>
        </w:rPr>
        <w:t>pasivos</w:t>
      </w:r>
      <w:r w:rsidR="007F07F9" w:rsidRPr="00DC6B29">
        <w:rPr>
          <w:rFonts w:ascii="Times New Roman" w:hAnsi="Times New Roman" w:cs="Times New Roman"/>
          <w:spacing w:val="-2"/>
          <w:sz w:val="22"/>
          <w:szCs w:val="22"/>
          <w:lang w:val="es-ES_tradnl" w:eastAsia="es-ES_tradnl"/>
        </w:rPr>
        <w:t xml:space="preserve"> financieros, a corto plazo es </w:t>
      </w:r>
      <w:r w:rsidR="007F07F9" w:rsidRPr="00DC6B29">
        <w:rPr>
          <w:rFonts w:ascii="Times New Roman" w:hAnsi="Times New Roman" w:cs="Times New Roman"/>
          <w:sz w:val="22"/>
          <w:szCs w:val="22"/>
          <w:lang w:val="es-ES_tradnl" w:eastAsia="es-ES_tradnl"/>
        </w:rPr>
        <w:t>la siguiente:</w:t>
      </w:r>
    </w:p>
    <w:p w:rsidR="007F07F9" w:rsidRDefault="007F07F9" w:rsidP="007F07F9">
      <w:pPr>
        <w:shd w:val="clear" w:color="auto" w:fill="FFFFFF"/>
        <w:ind w:left="720"/>
        <w:jc w:val="both"/>
        <w:rPr>
          <w:rFonts w:ascii="Times New Roman" w:hAnsi="Times New Roman" w:cs="Times New Roman"/>
          <w:sz w:val="22"/>
          <w:szCs w:val="22"/>
          <w:lang w:val="es-ES_tradnl" w:eastAsia="es-ES_tradnl"/>
        </w:rPr>
      </w:pPr>
    </w:p>
    <w:tbl>
      <w:tblPr>
        <w:tblW w:w="7560" w:type="dxa"/>
        <w:jc w:val="center"/>
        <w:tblInd w:w="60" w:type="dxa"/>
        <w:tblCellMar>
          <w:left w:w="70" w:type="dxa"/>
          <w:right w:w="70" w:type="dxa"/>
        </w:tblCellMar>
        <w:tblLook w:val="04A0"/>
      </w:tblPr>
      <w:tblGrid>
        <w:gridCol w:w="2317"/>
        <w:gridCol w:w="1266"/>
        <w:gridCol w:w="1527"/>
        <w:gridCol w:w="1225"/>
        <w:gridCol w:w="1225"/>
      </w:tblGrid>
      <w:tr w:rsidR="00A64161" w:rsidRPr="0007387A" w:rsidTr="0007387A">
        <w:trPr>
          <w:trHeight w:hRule="exact" w:val="450"/>
          <w:jc w:val="center"/>
        </w:trPr>
        <w:tc>
          <w:tcPr>
            <w:tcW w:w="2317" w:type="dxa"/>
            <w:tcBorders>
              <w:top w:val="single" w:sz="4" w:space="0" w:color="auto"/>
              <w:left w:val="single" w:sz="8" w:space="0" w:color="auto"/>
              <w:bottom w:val="nil"/>
              <w:right w:val="single" w:sz="8"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CLASE Y CATEGORIA</w:t>
            </w:r>
          </w:p>
        </w:tc>
        <w:tc>
          <w:tcPr>
            <w:tcW w:w="5243" w:type="dxa"/>
            <w:gridSpan w:val="4"/>
            <w:tcBorders>
              <w:top w:val="single" w:sz="4" w:space="0" w:color="auto"/>
              <w:left w:val="nil"/>
              <w:bottom w:val="nil"/>
              <w:right w:val="single" w:sz="8" w:space="0" w:color="000000"/>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PASIVOS FINANCIEROS A CORTO PLAZO</w:t>
            </w:r>
          </w:p>
        </w:tc>
      </w:tr>
      <w:tr w:rsidR="00A64161" w:rsidRPr="0007387A" w:rsidTr="0007387A">
        <w:trPr>
          <w:trHeight w:hRule="exact" w:val="330"/>
          <w:jc w:val="center"/>
        </w:trPr>
        <w:tc>
          <w:tcPr>
            <w:tcW w:w="23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 </w:t>
            </w:r>
          </w:p>
        </w:tc>
        <w:tc>
          <w:tcPr>
            <w:tcW w:w="126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Instrumentos de patrimonio</w:t>
            </w:r>
          </w:p>
        </w:tc>
        <w:tc>
          <w:tcPr>
            <w:tcW w:w="1527" w:type="dxa"/>
            <w:tcBorders>
              <w:top w:val="single" w:sz="4" w:space="0" w:color="auto"/>
              <w:left w:val="nil"/>
              <w:bottom w:val="nil"/>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Valores</w:t>
            </w:r>
          </w:p>
        </w:tc>
        <w:tc>
          <w:tcPr>
            <w:tcW w:w="1225"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Derivados, otros</w:t>
            </w:r>
          </w:p>
        </w:tc>
        <w:tc>
          <w:tcPr>
            <w:tcW w:w="1225"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Total</w:t>
            </w:r>
          </w:p>
        </w:tc>
      </w:tr>
      <w:tr w:rsidR="00A64161" w:rsidRPr="0007387A" w:rsidTr="0007387A">
        <w:trPr>
          <w:trHeight w:val="435"/>
          <w:jc w:val="center"/>
        </w:trPr>
        <w:tc>
          <w:tcPr>
            <w:tcW w:w="2317" w:type="dxa"/>
            <w:vMerge/>
            <w:tcBorders>
              <w:top w:val="single" w:sz="4" w:space="0" w:color="auto"/>
              <w:left w:val="single" w:sz="4" w:space="0" w:color="auto"/>
              <w:bottom w:val="single" w:sz="4" w:space="0" w:color="auto"/>
              <w:right w:val="single" w:sz="4" w:space="0" w:color="auto"/>
            </w:tcBorders>
            <w:vAlign w:val="center"/>
            <w:hideMark/>
          </w:tcPr>
          <w:p w:rsidR="00A64161" w:rsidRPr="0007387A" w:rsidRDefault="00A64161" w:rsidP="00A64161">
            <w:pPr>
              <w:widowControl/>
              <w:autoSpaceDE/>
              <w:autoSpaceDN/>
              <w:adjustRightInd/>
              <w:rPr>
                <w:rFonts w:ascii="Cambria" w:hAnsi="Cambria" w:cs="Calibri"/>
                <w:b/>
                <w:bCs/>
                <w:color w:val="000000"/>
                <w:sz w:val="16"/>
                <w:szCs w:val="18"/>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A64161" w:rsidRPr="0007387A" w:rsidRDefault="00A64161" w:rsidP="00A64161">
            <w:pPr>
              <w:widowControl/>
              <w:autoSpaceDE/>
              <w:autoSpaceDN/>
              <w:adjustRightInd/>
              <w:rPr>
                <w:rFonts w:ascii="Cambria" w:hAnsi="Cambria" w:cs="Calibri"/>
                <w:b/>
                <w:bCs/>
                <w:color w:val="000000"/>
                <w:sz w:val="16"/>
                <w:szCs w:val="18"/>
              </w:rPr>
            </w:pPr>
          </w:p>
        </w:tc>
        <w:tc>
          <w:tcPr>
            <w:tcW w:w="1527" w:type="dxa"/>
            <w:tcBorders>
              <w:top w:val="nil"/>
              <w:left w:val="nil"/>
              <w:bottom w:val="single" w:sz="4" w:space="0" w:color="auto"/>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representativo de</w:t>
            </w:r>
            <w:r w:rsidR="0007387A" w:rsidRPr="0007387A">
              <w:rPr>
                <w:rFonts w:ascii="Cambria" w:hAnsi="Cambria" w:cs="Calibri"/>
                <w:b/>
                <w:bCs/>
                <w:color w:val="000000"/>
                <w:sz w:val="16"/>
                <w:szCs w:val="18"/>
              </w:rPr>
              <w:t xml:space="preserve"> deuda</w:t>
            </w:r>
          </w:p>
        </w:tc>
        <w:tc>
          <w:tcPr>
            <w:tcW w:w="1225" w:type="dxa"/>
            <w:vMerge/>
            <w:tcBorders>
              <w:top w:val="single" w:sz="4" w:space="0" w:color="auto"/>
              <w:left w:val="single" w:sz="4" w:space="0" w:color="auto"/>
              <w:bottom w:val="single" w:sz="4" w:space="0" w:color="auto"/>
              <w:right w:val="single" w:sz="4" w:space="0" w:color="auto"/>
            </w:tcBorders>
            <w:vAlign w:val="center"/>
            <w:hideMark/>
          </w:tcPr>
          <w:p w:rsidR="00A64161" w:rsidRPr="0007387A" w:rsidRDefault="00A64161" w:rsidP="00A64161">
            <w:pPr>
              <w:widowControl/>
              <w:autoSpaceDE/>
              <w:autoSpaceDN/>
              <w:adjustRightInd/>
              <w:rPr>
                <w:rFonts w:ascii="Cambria" w:hAnsi="Cambria" w:cs="Calibri"/>
                <w:b/>
                <w:bCs/>
                <w:color w:val="000000"/>
                <w:sz w:val="16"/>
                <w:szCs w:val="18"/>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rsidR="00A64161" w:rsidRPr="0007387A" w:rsidRDefault="00A64161" w:rsidP="00A64161">
            <w:pPr>
              <w:widowControl/>
              <w:autoSpaceDE/>
              <w:autoSpaceDN/>
              <w:adjustRightInd/>
              <w:rPr>
                <w:rFonts w:ascii="Cambria" w:hAnsi="Cambria" w:cs="Calibri"/>
                <w:b/>
                <w:bCs/>
                <w:color w:val="000000"/>
                <w:sz w:val="16"/>
                <w:szCs w:val="18"/>
              </w:rPr>
            </w:pPr>
          </w:p>
        </w:tc>
      </w:tr>
      <w:tr w:rsidR="0007387A" w:rsidRPr="0007387A" w:rsidTr="008A54B1">
        <w:trPr>
          <w:trHeight w:hRule="exact" w:val="300"/>
          <w:jc w:val="center"/>
        </w:trPr>
        <w:tc>
          <w:tcPr>
            <w:tcW w:w="2317" w:type="dxa"/>
            <w:tcBorders>
              <w:top w:val="nil"/>
              <w:left w:val="single" w:sz="4" w:space="0" w:color="auto"/>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rPr>
                <w:rFonts w:ascii="Cambria" w:hAnsi="Cambria" w:cs="Calibri"/>
                <w:color w:val="000000"/>
                <w:sz w:val="16"/>
                <w:szCs w:val="18"/>
                <w:lang w:val="es-ES_tradnl"/>
              </w:rPr>
            </w:pPr>
          </w:p>
        </w:tc>
        <w:tc>
          <w:tcPr>
            <w:tcW w:w="1266" w:type="dxa"/>
            <w:tcBorders>
              <w:top w:val="nil"/>
              <w:left w:val="nil"/>
              <w:bottom w:val="single" w:sz="4" w:space="0" w:color="auto"/>
              <w:right w:val="single" w:sz="4" w:space="0" w:color="auto"/>
            </w:tcBorders>
            <w:shd w:val="clear" w:color="000000" w:fill="FFFFFF"/>
            <w:vAlign w:val="center"/>
            <w:hideMark/>
          </w:tcPr>
          <w:p w:rsidR="0007387A" w:rsidRDefault="0007387A" w:rsidP="008A54B1">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8A54B1">
            <w:pPr>
              <w:widowControl/>
              <w:autoSpaceDE/>
              <w:autoSpaceDN/>
              <w:adjustRightInd/>
              <w:jc w:val="center"/>
              <w:rPr>
                <w:rFonts w:ascii="Cambria" w:hAnsi="Cambria" w:cs="Calibri"/>
                <w:b/>
                <w:color w:val="000000"/>
                <w:sz w:val="16"/>
                <w:szCs w:val="18"/>
                <w:lang w:val="es-ES_tradnl"/>
              </w:rPr>
            </w:pP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527" w:type="dxa"/>
            <w:tcBorders>
              <w:top w:val="single" w:sz="4" w:space="0" w:color="auto"/>
              <w:left w:val="nil"/>
              <w:bottom w:val="single" w:sz="4" w:space="0" w:color="auto"/>
              <w:right w:val="single" w:sz="4" w:space="0" w:color="auto"/>
            </w:tcBorders>
            <w:shd w:val="clear" w:color="000000" w:fill="FFFFFF"/>
            <w:vAlign w:val="bottom"/>
            <w:hideMark/>
          </w:tcPr>
          <w:p w:rsidR="0007387A" w:rsidRDefault="0007387A" w:rsidP="0007387A">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A64161">
            <w:pPr>
              <w:widowControl/>
              <w:autoSpaceDE/>
              <w:autoSpaceDN/>
              <w:adjustRightInd/>
              <w:jc w:val="center"/>
              <w:rPr>
                <w:rFonts w:ascii="Cambria" w:hAnsi="Cambria" w:cs="Calibri"/>
                <w:color w:val="000000"/>
                <w:sz w:val="16"/>
                <w:szCs w:val="18"/>
                <w:lang w:val="es-ES_tradnl"/>
              </w:rPr>
            </w:pPr>
          </w:p>
        </w:tc>
        <w:tc>
          <w:tcPr>
            <w:tcW w:w="1225" w:type="dxa"/>
            <w:tcBorders>
              <w:top w:val="nil"/>
              <w:left w:val="nil"/>
              <w:bottom w:val="single" w:sz="4" w:space="0" w:color="auto"/>
              <w:right w:val="single" w:sz="4" w:space="0" w:color="auto"/>
            </w:tcBorders>
            <w:shd w:val="clear" w:color="000000" w:fill="FFFFFF"/>
            <w:vAlign w:val="bottom"/>
            <w:hideMark/>
          </w:tcPr>
          <w:p w:rsidR="0007387A" w:rsidRDefault="0007387A" w:rsidP="0007387A">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A64161">
            <w:pPr>
              <w:widowControl/>
              <w:autoSpaceDE/>
              <w:autoSpaceDN/>
              <w:adjustRightInd/>
              <w:jc w:val="center"/>
              <w:rPr>
                <w:rFonts w:ascii="Cambria" w:hAnsi="Cambria" w:cs="Calibri"/>
                <w:color w:val="000000"/>
                <w:sz w:val="16"/>
                <w:szCs w:val="18"/>
                <w:lang w:val="es-ES_tradnl"/>
              </w:rPr>
            </w:pPr>
          </w:p>
        </w:tc>
        <w:tc>
          <w:tcPr>
            <w:tcW w:w="1225" w:type="dxa"/>
            <w:tcBorders>
              <w:top w:val="nil"/>
              <w:left w:val="nil"/>
              <w:bottom w:val="single" w:sz="4" w:space="0" w:color="auto"/>
              <w:right w:val="single" w:sz="4" w:space="0" w:color="auto"/>
            </w:tcBorders>
            <w:shd w:val="clear" w:color="000000" w:fill="FFFFFF"/>
            <w:vAlign w:val="bottom"/>
            <w:hideMark/>
          </w:tcPr>
          <w:p w:rsidR="0007387A" w:rsidRDefault="0007387A" w:rsidP="0007387A">
            <w:pPr>
              <w:widowControl/>
              <w:autoSpaceDE/>
              <w:autoSpaceDN/>
              <w:adjustRightInd/>
              <w:jc w:val="center"/>
              <w:rPr>
                <w:rFonts w:ascii="Cambria" w:hAnsi="Cambria" w:cs="Calibri"/>
                <w:b/>
                <w:color w:val="000000"/>
                <w:sz w:val="16"/>
                <w:szCs w:val="18"/>
                <w:lang w:val="es-ES_tradnl"/>
              </w:rPr>
            </w:pPr>
            <w:r>
              <w:rPr>
                <w:rFonts w:ascii="Cambria" w:hAnsi="Cambria" w:cs="Calibri"/>
                <w:b/>
                <w:color w:val="000000"/>
                <w:sz w:val="16"/>
                <w:szCs w:val="18"/>
                <w:lang w:val="es-ES_tradnl"/>
              </w:rPr>
              <w:t>2020</w:t>
            </w:r>
          </w:p>
          <w:p w:rsidR="0007387A" w:rsidRPr="0007387A" w:rsidRDefault="0007387A" w:rsidP="00A64161">
            <w:pPr>
              <w:widowControl/>
              <w:autoSpaceDE/>
              <w:autoSpaceDN/>
              <w:adjustRightInd/>
              <w:jc w:val="center"/>
              <w:rPr>
                <w:rFonts w:ascii="Cambria" w:hAnsi="Cambria" w:cs="Calibri"/>
                <w:color w:val="000000"/>
                <w:sz w:val="16"/>
                <w:szCs w:val="18"/>
                <w:lang w:val="es-ES_tradnl"/>
              </w:rPr>
            </w:pPr>
          </w:p>
        </w:tc>
      </w:tr>
      <w:tr w:rsidR="0007387A" w:rsidRPr="0007387A" w:rsidTr="0007387A">
        <w:trPr>
          <w:trHeight w:hRule="exact" w:val="300"/>
          <w:jc w:val="center"/>
        </w:trPr>
        <w:tc>
          <w:tcPr>
            <w:tcW w:w="2317" w:type="dxa"/>
            <w:tcBorders>
              <w:top w:val="nil"/>
              <w:left w:val="single" w:sz="4" w:space="0" w:color="auto"/>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rPr>
                <w:rFonts w:ascii="Cambria" w:hAnsi="Cambria" w:cs="Calibri"/>
                <w:color w:val="000000"/>
                <w:sz w:val="16"/>
                <w:szCs w:val="18"/>
              </w:rPr>
            </w:pPr>
            <w:r w:rsidRPr="0007387A">
              <w:rPr>
                <w:rFonts w:ascii="Cambria" w:hAnsi="Cambria" w:cs="Calibri"/>
                <w:color w:val="000000"/>
                <w:sz w:val="16"/>
                <w:szCs w:val="18"/>
                <w:lang w:val="es-ES_tradnl"/>
              </w:rPr>
              <w:t>Derivados y otros</w:t>
            </w:r>
          </w:p>
        </w:tc>
        <w:tc>
          <w:tcPr>
            <w:tcW w:w="1266"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0,00</w:t>
            </w:r>
          </w:p>
        </w:tc>
        <w:tc>
          <w:tcPr>
            <w:tcW w:w="1527" w:type="dxa"/>
            <w:tcBorders>
              <w:top w:val="single" w:sz="4" w:space="0" w:color="auto"/>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0,00</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1.366.610,62</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1.366.610,62</w:t>
            </w:r>
          </w:p>
        </w:tc>
      </w:tr>
      <w:tr w:rsidR="0007387A" w:rsidRPr="0007387A" w:rsidTr="0007387A">
        <w:trPr>
          <w:trHeight w:hRule="exact" w:val="300"/>
          <w:jc w:val="center"/>
        </w:trPr>
        <w:tc>
          <w:tcPr>
            <w:tcW w:w="2317" w:type="dxa"/>
            <w:tcBorders>
              <w:top w:val="nil"/>
              <w:left w:val="single" w:sz="4" w:space="0" w:color="auto"/>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TOTAL</w:t>
            </w:r>
          </w:p>
        </w:tc>
        <w:tc>
          <w:tcPr>
            <w:tcW w:w="1266"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0,00</w:t>
            </w:r>
          </w:p>
        </w:tc>
        <w:tc>
          <w:tcPr>
            <w:tcW w:w="1527"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0,00</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1.366.610,62</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1.366.610,62</w:t>
            </w:r>
          </w:p>
        </w:tc>
      </w:tr>
    </w:tbl>
    <w:p w:rsidR="00A64161" w:rsidRDefault="00A64161" w:rsidP="007F07F9">
      <w:pPr>
        <w:shd w:val="clear" w:color="auto" w:fill="FFFFFF"/>
        <w:rPr>
          <w:rFonts w:ascii="Times New Roman" w:hAnsi="Times New Roman" w:cs="Times New Roman"/>
          <w:spacing w:val="-2"/>
          <w:sz w:val="22"/>
          <w:szCs w:val="22"/>
          <w:lang w:eastAsia="es-ES_tradnl"/>
        </w:rPr>
      </w:pPr>
    </w:p>
    <w:p w:rsidR="007F07F9" w:rsidRPr="003A25E8" w:rsidRDefault="007F07F9" w:rsidP="007F07F9">
      <w:pPr>
        <w:shd w:val="clear" w:color="auto" w:fill="FFFFFF"/>
        <w:ind w:left="720"/>
        <w:jc w:val="both"/>
        <w:rPr>
          <w:rFonts w:ascii="Times New Roman" w:hAnsi="Times New Roman" w:cs="Times New Roman"/>
          <w:sz w:val="22"/>
          <w:szCs w:val="22"/>
          <w:lang w:val="es-ES_tradnl" w:eastAsia="es-ES_tradnl"/>
        </w:rPr>
      </w:pPr>
      <w:r w:rsidRPr="00DC6B29">
        <w:rPr>
          <w:rFonts w:ascii="Times New Roman" w:hAnsi="Times New Roman" w:cs="Times New Roman"/>
          <w:spacing w:val="-2"/>
          <w:sz w:val="22"/>
          <w:szCs w:val="22"/>
          <w:lang w:val="es-ES_tradnl" w:eastAsia="es-ES_tradnl"/>
        </w:rPr>
        <w:t xml:space="preserve">La composición por categorías de los activos financieros a corto plazo en el ejercicio 2019 fue </w:t>
      </w:r>
      <w:r w:rsidRPr="00DC6B29">
        <w:rPr>
          <w:rFonts w:ascii="Times New Roman" w:hAnsi="Times New Roman" w:cs="Times New Roman"/>
          <w:sz w:val="22"/>
          <w:szCs w:val="22"/>
          <w:lang w:val="es-ES_tradnl" w:eastAsia="es-ES_tradnl"/>
        </w:rPr>
        <w:t xml:space="preserve">la </w:t>
      </w:r>
      <w:r w:rsidRPr="003A25E8">
        <w:rPr>
          <w:rFonts w:ascii="Times New Roman" w:hAnsi="Times New Roman" w:cs="Times New Roman"/>
          <w:sz w:val="22"/>
          <w:szCs w:val="22"/>
          <w:lang w:val="es-ES_tradnl" w:eastAsia="es-ES_tradnl"/>
        </w:rPr>
        <w:t>siguiente:</w:t>
      </w:r>
    </w:p>
    <w:p w:rsidR="007F07F9" w:rsidRPr="00321047" w:rsidRDefault="007F07F9" w:rsidP="007F07F9">
      <w:pPr>
        <w:shd w:val="clear" w:color="auto" w:fill="FFFFFF"/>
        <w:ind w:left="720"/>
        <w:jc w:val="both"/>
        <w:rPr>
          <w:rFonts w:ascii="Times New Roman" w:hAnsi="Times New Roman" w:cs="Times New Roman"/>
          <w:color w:val="0000FF"/>
          <w:sz w:val="22"/>
          <w:szCs w:val="22"/>
          <w:lang w:val="es-ES_tradnl" w:eastAsia="es-ES_tradnl"/>
        </w:rPr>
      </w:pPr>
    </w:p>
    <w:tbl>
      <w:tblPr>
        <w:tblW w:w="7560" w:type="dxa"/>
        <w:jc w:val="center"/>
        <w:tblInd w:w="65" w:type="dxa"/>
        <w:tblCellMar>
          <w:left w:w="70" w:type="dxa"/>
          <w:right w:w="70" w:type="dxa"/>
        </w:tblCellMar>
        <w:tblLook w:val="04A0"/>
      </w:tblPr>
      <w:tblGrid>
        <w:gridCol w:w="2317"/>
        <w:gridCol w:w="1266"/>
        <w:gridCol w:w="1527"/>
        <w:gridCol w:w="1225"/>
        <w:gridCol w:w="1225"/>
      </w:tblGrid>
      <w:tr w:rsidR="00A64161" w:rsidRPr="0007387A" w:rsidTr="0007387A">
        <w:trPr>
          <w:trHeight w:hRule="exact" w:val="300"/>
          <w:jc w:val="center"/>
        </w:trPr>
        <w:tc>
          <w:tcPr>
            <w:tcW w:w="2317"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CLASE Y CATEGORIA</w:t>
            </w:r>
          </w:p>
        </w:tc>
        <w:tc>
          <w:tcPr>
            <w:tcW w:w="5243" w:type="dxa"/>
            <w:gridSpan w:val="4"/>
            <w:tcBorders>
              <w:top w:val="single" w:sz="4" w:space="0" w:color="auto"/>
              <w:left w:val="nil"/>
              <w:bottom w:val="single" w:sz="4" w:space="0" w:color="auto"/>
              <w:right w:val="single" w:sz="4" w:space="0" w:color="auto"/>
            </w:tcBorders>
            <w:shd w:val="clear" w:color="000000" w:fill="F2F2F2"/>
            <w:vAlign w:val="bottom"/>
            <w:hideMark/>
          </w:tcPr>
          <w:p w:rsidR="00A64161" w:rsidRPr="0007387A" w:rsidRDefault="00A64161"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PASIVOS FINANCIEROS A CORTO PLAZO</w:t>
            </w:r>
          </w:p>
        </w:tc>
      </w:tr>
      <w:tr w:rsidR="0007387A" w:rsidRPr="0007387A" w:rsidTr="0007387A">
        <w:trPr>
          <w:trHeight w:hRule="exact" w:val="833"/>
          <w:jc w:val="center"/>
        </w:trPr>
        <w:tc>
          <w:tcPr>
            <w:tcW w:w="2317" w:type="dxa"/>
            <w:tcBorders>
              <w:top w:val="nil"/>
              <w:left w:val="single" w:sz="4" w:space="0" w:color="auto"/>
              <w:bottom w:val="single" w:sz="4" w:space="0" w:color="auto"/>
              <w:right w:val="single" w:sz="4" w:space="0" w:color="auto"/>
            </w:tcBorders>
            <w:shd w:val="clear" w:color="auto" w:fill="auto"/>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 </w:t>
            </w:r>
          </w:p>
        </w:tc>
        <w:tc>
          <w:tcPr>
            <w:tcW w:w="1266" w:type="dxa"/>
            <w:tcBorders>
              <w:top w:val="nil"/>
              <w:left w:val="single" w:sz="4" w:space="0" w:color="auto"/>
              <w:bottom w:val="single" w:sz="4" w:space="0" w:color="auto"/>
              <w:right w:val="single" w:sz="4" w:space="0" w:color="auto"/>
            </w:tcBorders>
            <w:shd w:val="clear" w:color="000000" w:fill="F2F2F2"/>
            <w:vAlign w:val="bottom"/>
            <w:hideMark/>
          </w:tcPr>
          <w:p w:rsidR="0007387A" w:rsidRPr="0007387A" w:rsidRDefault="0007387A" w:rsidP="0007387A">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Instrumentos de patrimonio</w:t>
            </w:r>
          </w:p>
        </w:tc>
        <w:tc>
          <w:tcPr>
            <w:tcW w:w="1527" w:type="dxa"/>
            <w:tcBorders>
              <w:top w:val="nil"/>
              <w:left w:val="nil"/>
              <w:bottom w:val="single" w:sz="4" w:space="0" w:color="auto"/>
              <w:right w:val="single" w:sz="4" w:space="0" w:color="auto"/>
            </w:tcBorders>
            <w:shd w:val="clear" w:color="000000" w:fill="F2F2F2"/>
            <w:vAlign w:val="bottom"/>
            <w:hideMark/>
          </w:tcPr>
          <w:p w:rsidR="0007387A" w:rsidRPr="0007387A" w:rsidRDefault="0007387A" w:rsidP="0007387A">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Valores  representativo de deuda</w:t>
            </w:r>
          </w:p>
        </w:tc>
        <w:tc>
          <w:tcPr>
            <w:tcW w:w="1225" w:type="dxa"/>
            <w:tcBorders>
              <w:top w:val="nil"/>
              <w:left w:val="single" w:sz="4" w:space="0" w:color="auto"/>
              <w:bottom w:val="single" w:sz="4" w:space="0" w:color="auto"/>
              <w:right w:val="single" w:sz="4" w:space="0" w:color="auto"/>
            </w:tcBorders>
            <w:shd w:val="clear" w:color="000000" w:fill="F2F2F2"/>
            <w:vAlign w:val="bottom"/>
            <w:hideMark/>
          </w:tcPr>
          <w:p w:rsidR="0007387A" w:rsidRPr="0007387A" w:rsidRDefault="0007387A" w:rsidP="0007387A">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Derivados, otros</w:t>
            </w:r>
          </w:p>
        </w:tc>
        <w:tc>
          <w:tcPr>
            <w:tcW w:w="1225" w:type="dxa"/>
            <w:tcBorders>
              <w:top w:val="nil"/>
              <w:left w:val="single" w:sz="4" w:space="0" w:color="auto"/>
              <w:bottom w:val="single" w:sz="4" w:space="0" w:color="auto"/>
              <w:right w:val="single" w:sz="4" w:space="0" w:color="auto"/>
            </w:tcBorders>
            <w:shd w:val="clear" w:color="000000" w:fill="F2F2F2"/>
            <w:vAlign w:val="bottom"/>
            <w:hideMark/>
          </w:tcPr>
          <w:p w:rsidR="0007387A" w:rsidRPr="0007387A" w:rsidRDefault="0007387A" w:rsidP="0007387A">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rPr>
              <w:t>Total</w:t>
            </w:r>
          </w:p>
        </w:tc>
      </w:tr>
      <w:tr w:rsidR="0007387A" w:rsidRPr="0007387A" w:rsidTr="008A54B1">
        <w:trPr>
          <w:trHeight w:hRule="exact" w:val="315"/>
          <w:jc w:val="center"/>
        </w:trPr>
        <w:tc>
          <w:tcPr>
            <w:tcW w:w="2317" w:type="dxa"/>
            <w:tcBorders>
              <w:top w:val="nil"/>
              <w:left w:val="single" w:sz="4" w:space="0" w:color="auto"/>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rPr>
                <w:rFonts w:ascii="Cambria" w:hAnsi="Cambria" w:cs="Calibri"/>
                <w:color w:val="000000"/>
                <w:sz w:val="16"/>
                <w:szCs w:val="18"/>
                <w:lang w:val="es-ES_tradnl"/>
              </w:rPr>
            </w:pPr>
          </w:p>
        </w:tc>
        <w:tc>
          <w:tcPr>
            <w:tcW w:w="1266" w:type="dxa"/>
            <w:tcBorders>
              <w:top w:val="nil"/>
              <w:left w:val="nil"/>
              <w:bottom w:val="single" w:sz="4" w:space="0" w:color="auto"/>
              <w:right w:val="single" w:sz="4" w:space="0" w:color="auto"/>
            </w:tcBorders>
            <w:shd w:val="clear" w:color="000000" w:fill="FFFFFF"/>
            <w:vAlign w:val="center"/>
            <w:hideMark/>
          </w:tcPr>
          <w:p w:rsidR="0007387A" w:rsidRPr="0007387A" w:rsidRDefault="0007387A" w:rsidP="0007387A">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07387A">
            <w:pPr>
              <w:widowControl/>
              <w:autoSpaceDE/>
              <w:autoSpaceDN/>
              <w:adjustRightInd/>
              <w:jc w:val="center"/>
              <w:rPr>
                <w:rFonts w:ascii="Cambria" w:hAnsi="Cambria" w:cs="Calibri"/>
                <w:color w:val="000000"/>
                <w:sz w:val="16"/>
                <w:szCs w:val="18"/>
                <w:lang w:val="es-ES_tradnl"/>
              </w:rPr>
            </w:pPr>
          </w:p>
        </w:tc>
        <w:tc>
          <w:tcPr>
            <w:tcW w:w="1527" w:type="dxa"/>
            <w:tcBorders>
              <w:top w:val="nil"/>
              <w:left w:val="nil"/>
              <w:bottom w:val="single" w:sz="4" w:space="0" w:color="auto"/>
              <w:right w:val="single" w:sz="4" w:space="0" w:color="auto"/>
            </w:tcBorders>
            <w:shd w:val="clear" w:color="000000" w:fill="FFFFFF"/>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225" w:type="dxa"/>
            <w:tcBorders>
              <w:top w:val="nil"/>
              <w:left w:val="nil"/>
              <w:bottom w:val="single" w:sz="4" w:space="0" w:color="auto"/>
              <w:right w:val="single" w:sz="4" w:space="0" w:color="auto"/>
            </w:tcBorders>
            <w:shd w:val="clear" w:color="000000" w:fill="FFFFFF"/>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c>
          <w:tcPr>
            <w:tcW w:w="1225" w:type="dxa"/>
            <w:tcBorders>
              <w:top w:val="nil"/>
              <w:left w:val="nil"/>
              <w:bottom w:val="single" w:sz="4" w:space="0" w:color="auto"/>
              <w:right w:val="single" w:sz="4" w:space="0" w:color="auto"/>
            </w:tcBorders>
            <w:shd w:val="clear" w:color="000000" w:fill="FFFFFF"/>
            <w:vAlign w:val="center"/>
            <w:hideMark/>
          </w:tcPr>
          <w:p w:rsidR="0007387A" w:rsidRPr="0007387A" w:rsidRDefault="0007387A" w:rsidP="008A54B1">
            <w:pPr>
              <w:widowControl/>
              <w:autoSpaceDE/>
              <w:autoSpaceDN/>
              <w:adjustRightInd/>
              <w:jc w:val="center"/>
              <w:rPr>
                <w:rFonts w:ascii="Cambria" w:hAnsi="Cambria" w:cs="Calibri"/>
                <w:b/>
                <w:color w:val="000000"/>
                <w:sz w:val="16"/>
                <w:szCs w:val="18"/>
                <w:lang w:val="es-ES_tradnl"/>
              </w:rPr>
            </w:pPr>
            <w:r w:rsidRPr="0007387A">
              <w:rPr>
                <w:rFonts w:ascii="Cambria" w:hAnsi="Cambria" w:cs="Calibri"/>
                <w:b/>
                <w:color w:val="000000"/>
                <w:sz w:val="16"/>
                <w:szCs w:val="18"/>
                <w:lang w:val="es-ES_tradnl"/>
              </w:rPr>
              <w:t>2019</w:t>
            </w:r>
          </w:p>
          <w:p w:rsidR="0007387A" w:rsidRPr="0007387A" w:rsidRDefault="0007387A" w:rsidP="008A54B1">
            <w:pPr>
              <w:widowControl/>
              <w:autoSpaceDE/>
              <w:autoSpaceDN/>
              <w:adjustRightInd/>
              <w:jc w:val="center"/>
              <w:rPr>
                <w:rFonts w:ascii="Cambria" w:hAnsi="Cambria" w:cs="Calibri"/>
                <w:color w:val="000000"/>
                <w:sz w:val="16"/>
                <w:szCs w:val="18"/>
                <w:lang w:val="es-ES_tradnl"/>
              </w:rPr>
            </w:pPr>
          </w:p>
        </w:tc>
      </w:tr>
      <w:tr w:rsidR="0007387A" w:rsidRPr="0007387A" w:rsidTr="0007387A">
        <w:trPr>
          <w:trHeight w:hRule="exact" w:val="315"/>
          <w:jc w:val="center"/>
        </w:trPr>
        <w:tc>
          <w:tcPr>
            <w:tcW w:w="2317" w:type="dxa"/>
            <w:tcBorders>
              <w:top w:val="nil"/>
              <w:left w:val="single" w:sz="4" w:space="0" w:color="auto"/>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rPr>
                <w:rFonts w:ascii="Cambria" w:hAnsi="Cambria" w:cs="Calibri"/>
                <w:color w:val="000000"/>
                <w:sz w:val="16"/>
                <w:szCs w:val="18"/>
              </w:rPr>
            </w:pPr>
            <w:r w:rsidRPr="0007387A">
              <w:rPr>
                <w:rFonts w:ascii="Cambria" w:hAnsi="Cambria" w:cs="Calibri"/>
                <w:color w:val="000000"/>
                <w:sz w:val="16"/>
                <w:szCs w:val="18"/>
                <w:lang w:val="es-ES_tradnl"/>
              </w:rPr>
              <w:t xml:space="preserve">Derivados y otros </w:t>
            </w:r>
          </w:p>
        </w:tc>
        <w:tc>
          <w:tcPr>
            <w:tcW w:w="1266"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07387A">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0,00</w:t>
            </w:r>
          </w:p>
        </w:tc>
        <w:tc>
          <w:tcPr>
            <w:tcW w:w="1527"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07387A">
            <w:pPr>
              <w:widowControl/>
              <w:autoSpaceDE/>
              <w:autoSpaceDN/>
              <w:adjustRightInd/>
              <w:jc w:val="center"/>
              <w:rPr>
                <w:rFonts w:ascii="Cambria" w:hAnsi="Cambria" w:cs="Calibri"/>
                <w:b/>
                <w:bCs/>
                <w:color w:val="000000"/>
                <w:sz w:val="16"/>
                <w:szCs w:val="18"/>
              </w:rPr>
            </w:pPr>
            <w:r w:rsidRPr="0007387A">
              <w:rPr>
                <w:rFonts w:ascii="Cambria" w:hAnsi="Cambria" w:cs="Calibri"/>
                <w:color w:val="000000"/>
                <w:sz w:val="16"/>
                <w:szCs w:val="18"/>
                <w:lang w:val="es-ES_tradnl"/>
              </w:rPr>
              <w:t>0,00</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07387A">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4.551.700,24</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07387A">
            <w:pPr>
              <w:widowControl/>
              <w:autoSpaceDE/>
              <w:autoSpaceDN/>
              <w:adjustRightInd/>
              <w:jc w:val="center"/>
              <w:rPr>
                <w:rFonts w:ascii="Cambria" w:hAnsi="Cambria" w:cs="Calibri"/>
                <w:color w:val="000000"/>
                <w:sz w:val="16"/>
                <w:szCs w:val="18"/>
              </w:rPr>
            </w:pPr>
            <w:r w:rsidRPr="0007387A">
              <w:rPr>
                <w:rFonts w:ascii="Cambria" w:hAnsi="Cambria" w:cs="Calibri"/>
                <w:color w:val="000000"/>
                <w:sz w:val="16"/>
                <w:szCs w:val="18"/>
                <w:lang w:val="es-ES_tradnl"/>
              </w:rPr>
              <w:t>4.551.700,24</w:t>
            </w:r>
          </w:p>
        </w:tc>
      </w:tr>
      <w:tr w:rsidR="0007387A" w:rsidRPr="0007387A" w:rsidTr="0007387A">
        <w:trPr>
          <w:trHeight w:hRule="exact" w:val="315"/>
          <w:jc w:val="center"/>
        </w:trPr>
        <w:tc>
          <w:tcPr>
            <w:tcW w:w="2317" w:type="dxa"/>
            <w:tcBorders>
              <w:top w:val="nil"/>
              <w:left w:val="single" w:sz="4" w:space="0" w:color="auto"/>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TOTAL</w:t>
            </w:r>
          </w:p>
        </w:tc>
        <w:tc>
          <w:tcPr>
            <w:tcW w:w="1266"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0,00</w:t>
            </w:r>
          </w:p>
        </w:tc>
        <w:tc>
          <w:tcPr>
            <w:tcW w:w="1527"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0,00</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4.551.700,24</w:t>
            </w:r>
          </w:p>
        </w:tc>
        <w:tc>
          <w:tcPr>
            <w:tcW w:w="1225" w:type="dxa"/>
            <w:tcBorders>
              <w:top w:val="nil"/>
              <w:left w:val="nil"/>
              <w:bottom w:val="single" w:sz="4" w:space="0" w:color="auto"/>
              <w:right w:val="single" w:sz="4" w:space="0" w:color="auto"/>
            </w:tcBorders>
            <w:shd w:val="clear" w:color="000000" w:fill="FFFFFF"/>
            <w:vAlign w:val="bottom"/>
            <w:hideMark/>
          </w:tcPr>
          <w:p w:rsidR="0007387A" w:rsidRPr="0007387A" w:rsidRDefault="0007387A" w:rsidP="00A64161">
            <w:pPr>
              <w:widowControl/>
              <w:autoSpaceDE/>
              <w:autoSpaceDN/>
              <w:adjustRightInd/>
              <w:jc w:val="center"/>
              <w:rPr>
                <w:rFonts w:ascii="Cambria" w:hAnsi="Cambria" w:cs="Calibri"/>
                <w:b/>
                <w:bCs/>
                <w:color w:val="000000"/>
                <w:sz w:val="16"/>
                <w:szCs w:val="18"/>
              </w:rPr>
            </w:pPr>
            <w:r w:rsidRPr="0007387A">
              <w:rPr>
                <w:rFonts w:ascii="Cambria" w:hAnsi="Cambria" w:cs="Calibri"/>
                <w:b/>
                <w:bCs/>
                <w:color w:val="000000"/>
                <w:sz w:val="16"/>
                <w:szCs w:val="18"/>
                <w:lang w:val="es-ES_tradnl"/>
              </w:rPr>
              <w:t>4.551.700,24</w:t>
            </w:r>
          </w:p>
        </w:tc>
      </w:tr>
    </w:tbl>
    <w:p w:rsidR="007F07F9" w:rsidRPr="00321047" w:rsidRDefault="007F07F9" w:rsidP="007F07F9">
      <w:pPr>
        <w:shd w:val="clear" w:color="auto" w:fill="FFFFFF"/>
        <w:ind w:left="720"/>
        <w:jc w:val="both"/>
        <w:rPr>
          <w:rFonts w:ascii="Times New Roman" w:hAnsi="Times New Roman" w:cs="Times New Roman"/>
          <w:color w:val="0000FF"/>
          <w:sz w:val="22"/>
          <w:szCs w:val="22"/>
          <w:lang w:val="es-ES_tradnl" w:eastAsia="es-ES_tradnl"/>
        </w:rPr>
      </w:pPr>
    </w:p>
    <w:p w:rsidR="00137FCE" w:rsidRDefault="00137FCE" w:rsidP="00DF704D">
      <w:pPr>
        <w:widowControl/>
        <w:autoSpaceDE/>
        <w:autoSpaceDN/>
        <w:adjustRightInd/>
        <w:ind w:left="709"/>
        <w:jc w:val="both"/>
        <w:rPr>
          <w:rFonts w:ascii="Times New Roman" w:hAnsi="Times New Roman" w:cs="Times New Roman"/>
          <w:b/>
          <w:spacing w:val="-2"/>
          <w:sz w:val="22"/>
          <w:szCs w:val="22"/>
          <w:lang w:val="es-ES_tradnl" w:eastAsia="es-ES_tradnl"/>
        </w:rPr>
      </w:pPr>
    </w:p>
    <w:p w:rsidR="00137FCE" w:rsidRDefault="00DB1351" w:rsidP="00AC54A8">
      <w:pPr>
        <w:widowControl/>
        <w:autoSpaceDE/>
        <w:autoSpaceDN/>
        <w:adjustRightInd/>
        <w:ind w:left="709"/>
        <w:jc w:val="both"/>
        <w:rPr>
          <w:rFonts w:ascii="Times New Roman" w:hAnsi="Times New Roman" w:cs="Times New Roman"/>
          <w:spacing w:val="-2"/>
          <w:sz w:val="22"/>
          <w:szCs w:val="22"/>
          <w:lang w:val="es-ES_tradnl" w:eastAsia="es-ES_tradnl"/>
        </w:rPr>
      </w:pPr>
      <w:r>
        <w:rPr>
          <w:rFonts w:ascii="Times New Roman" w:hAnsi="Times New Roman" w:cs="Times New Roman"/>
          <w:b/>
          <w:spacing w:val="-2"/>
          <w:sz w:val="22"/>
          <w:szCs w:val="22"/>
          <w:lang w:val="es-ES_tradnl" w:eastAsia="es-ES_tradnl"/>
        </w:rPr>
        <w:t>B.2.</w:t>
      </w:r>
      <w:r w:rsidR="00137FCE">
        <w:rPr>
          <w:rFonts w:ascii="Times New Roman" w:hAnsi="Times New Roman" w:cs="Times New Roman"/>
          <w:b/>
          <w:spacing w:val="-2"/>
          <w:sz w:val="22"/>
          <w:szCs w:val="22"/>
          <w:lang w:val="es-ES_tradnl" w:eastAsia="es-ES_tradnl"/>
        </w:rPr>
        <w:t xml:space="preserve"> </w:t>
      </w:r>
      <w:r w:rsidR="00137FCE" w:rsidRPr="00137FCE">
        <w:rPr>
          <w:rFonts w:ascii="Times New Roman" w:hAnsi="Times New Roman" w:cs="Times New Roman"/>
          <w:spacing w:val="-2"/>
          <w:sz w:val="22"/>
          <w:szCs w:val="22"/>
          <w:lang w:val="es-ES_tradnl" w:eastAsia="es-ES_tradnl"/>
        </w:rPr>
        <w:t>Ni el presente ejercicio ni  en el ejer</w:t>
      </w:r>
      <w:r w:rsidR="00137FCE">
        <w:rPr>
          <w:rFonts w:ascii="Times New Roman" w:hAnsi="Times New Roman" w:cs="Times New Roman"/>
          <w:spacing w:val="-2"/>
          <w:sz w:val="22"/>
          <w:szCs w:val="22"/>
          <w:lang w:val="es-ES_tradnl" w:eastAsia="es-ES_tradnl"/>
        </w:rPr>
        <w:t xml:space="preserve">cicio anterior </w:t>
      </w:r>
      <w:r w:rsidR="00137FCE" w:rsidRPr="00137FCE">
        <w:rPr>
          <w:rFonts w:ascii="Times New Roman" w:hAnsi="Times New Roman" w:cs="Times New Roman"/>
          <w:spacing w:val="-2"/>
          <w:sz w:val="22"/>
          <w:szCs w:val="22"/>
          <w:lang w:val="es-ES_tradnl" w:eastAsia="es-ES_tradnl"/>
        </w:rPr>
        <w:t>hay activos financieros ni pasivos financieros a valor razonable con cambios en la</w:t>
      </w:r>
      <w:r w:rsidR="00AC54A8">
        <w:rPr>
          <w:rFonts w:ascii="Times New Roman" w:hAnsi="Times New Roman" w:cs="Times New Roman"/>
          <w:spacing w:val="-2"/>
          <w:sz w:val="22"/>
          <w:szCs w:val="22"/>
          <w:lang w:val="es-ES_tradnl" w:eastAsia="es-ES_tradnl"/>
        </w:rPr>
        <w:t xml:space="preserve"> cuenta de pérdidas y ganancias</w:t>
      </w:r>
    </w:p>
    <w:p w:rsidR="00460D34" w:rsidRDefault="00460D34" w:rsidP="00AC54A8">
      <w:pPr>
        <w:widowControl/>
        <w:autoSpaceDE/>
        <w:autoSpaceDN/>
        <w:adjustRightInd/>
        <w:ind w:left="709"/>
        <w:jc w:val="both"/>
        <w:rPr>
          <w:rFonts w:ascii="Times New Roman" w:hAnsi="Times New Roman" w:cs="Times New Roman"/>
          <w:spacing w:val="-2"/>
          <w:sz w:val="22"/>
          <w:szCs w:val="22"/>
          <w:lang w:val="es-ES_tradnl" w:eastAsia="es-ES_tradnl"/>
        </w:rPr>
      </w:pPr>
    </w:p>
    <w:p w:rsidR="0007387A" w:rsidRPr="00137FCE" w:rsidRDefault="00DB1351" w:rsidP="0007387A">
      <w:pPr>
        <w:widowControl/>
        <w:autoSpaceDE/>
        <w:autoSpaceDN/>
        <w:adjustRightInd/>
        <w:ind w:left="709"/>
        <w:jc w:val="both"/>
        <w:rPr>
          <w:rFonts w:ascii="Times New Roman" w:hAnsi="Times New Roman" w:cs="Times New Roman"/>
          <w:b/>
          <w:spacing w:val="-2"/>
          <w:sz w:val="22"/>
          <w:szCs w:val="22"/>
          <w:lang w:val="es-ES_tradnl" w:eastAsia="es-ES_tradnl"/>
        </w:rPr>
      </w:pPr>
      <w:r>
        <w:rPr>
          <w:rFonts w:ascii="Times New Roman" w:hAnsi="Times New Roman" w:cs="Times New Roman"/>
          <w:b/>
          <w:spacing w:val="-2"/>
          <w:sz w:val="22"/>
          <w:szCs w:val="22"/>
          <w:lang w:val="es-ES_tradnl" w:eastAsia="es-ES_tradnl"/>
        </w:rPr>
        <w:t>B.3</w:t>
      </w:r>
      <w:r w:rsidR="005C277E" w:rsidRPr="00CD0825">
        <w:rPr>
          <w:rFonts w:ascii="Times New Roman" w:hAnsi="Times New Roman" w:cs="Times New Roman"/>
          <w:b/>
          <w:spacing w:val="-2"/>
          <w:sz w:val="22"/>
          <w:szCs w:val="22"/>
          <w:lang w:val="es-ES_tradnl" w:eastAsia="es-ES_tradnl"/>
        </w:rPr>
        <w:t>.</w:t>
      </w:r>
      <w:r w:rsidR="005C277E" w:rsidRPr="00CD0825">
        <w:rPr>
          <w:rFonts w:ascii="Times New Roman" w:hAnsi="Times New Roman" w:cs="Times New Roman"/>
          <w:spacing w:val="-2"/>
          <w:sz w:val="22"/>
          <w:szCs w:val="22"/>
          <w:lang w:val="es-ES_tradnl" w:eastAsia="es-ES_tradnl"/>
        </w:rPr>
        <w:t xml:space="preserve"> </w:t>
      </w:r>
      <w:r w:rsidR="00DF704D" w:rsidRPr="00CD0825">
        <w:rPr>
          <w:rFonts w:ascii="Times New Roman" w:hAnsi="Times New Roman" w:cs="Times New Roman"/>
          <w:spacing w:val="-2"/>
          <w:sz w:val="22"/>
          <w:szCs w:val="22"/>
          <w:lang w:val="es-ES_tradnl" w:eastAsia="es-ES_tradnl"/>
        </w:rPr>
        <w:t>Las clasificaciones por vencimiento de los pasivos financieros de la Sociedad, de los importes que</w:t>
      </w:r>
      <w:r w:rsidR="0007387A">
        <w:rPr>
          <w:rFonts w:ascii="Times New Roman" w:hAnsi="Times New Roman" w:cs="Times New Roman"/>
          <w:spacing w:val="-2"/>
          <w:sz w:val="22"/>
          <w:szCs w:val="22"/>
          <w:lang w:val="es-ES_tradnl" w:eastAsia="es-ES_tradnl"/>
        </w:rPr>
        <w:t xml:space="preserve"> </w:t>
      </w:r>
      <w:r w:rsidR="0007387A" w:rsidRPr="00CD0825">
        <w:rPr>
          <w:rFonts w:ascii="Times New Roman" w:hAnsi="Times New Roman" w:cs="Times New Roman"/>
          <w:spacing w:val="-2"/>
          <w:sz w:val="22"/>
          <w:szCs w:val="22"/>
          <w:lang w:val="es-ES_tradnl" w:eastAsia="es-ES_tradnl"/>
        </w:rPr>
        <w:t>venzan en cada uno de los siguientes años al cierre del ejercicio y hasta su último vencimiento, se detallan en el siguiente cuadro:</w:t>
      </w:r>
    </w:p>
    <w:p w:rsidR="00AC54A8" w:rsidRDefault="00AC54A8" w:rsidP="00205A13">
      <w:pPr>
        <w:widowControl/>
        <w:autoSpaceDE/>
        <w:autoSpaceDN/>
        <w:adjustRightInd/>
        <w:jc w:val="both"/>
        <w:rPr>
          <w:rFonts w:ascii="Times New Roman" w:hAnsi="Times New Roman" w:cs="Times New Roman"/>
          <w:spacing w:val="-2"/>
          <w:sz w:val="22"/>
          <w:szCs w:val="22"/>
          <w:lang w:val="es-ES_tradnl" w:eastAsia="es-ES_tradnl"/>
        </w:rPr>
      </w:pPr>
    </w:p>
    <w:tbl>
      <w:tblPr>
        <w:tblpPr w:leftFromText="141" w:rightFromText="141" w:vertAnchor="text" w:horzAnchor="margin" w:tblpXSpec="center" w:tblpY="129"/>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7"/>
        <w:gridCol w:w="1264"/>
        <w:gridCol w:w="878"/>
        <w:gridCol w:w="878"/>
        <w:gridCol w:w="878"/>
        <w:gridCol w:w="878"/>
        <w:gridCol w:w="462"/>
        <w:gridCol w:w="1105"/>
      </w:tblGrid>
      <w:tr w:rsidR="0007387A" w:rsidRPr="00205A13" w:rsidTr="00205A13">
        <w:trPr>
          <w:trHeight w:val="262"/>
        </w:trPr>
        <w:tc>
          <w:tcPr>
            <w:tcW w:w="2337" w:type="dxa"/>
            <w:shd w:val="clear" w:color="auto" w:fill="auto"/>
            <w:noWrap/>
            <w:vAlign w:val="bottom"/>
            <w:hideMark/>
          </w:tcPr>
          <w:p w:rsidR="0007387A" w:rsidRPr="00205A13" w:rsidRDefault="0007387A" w:rsidP="0007387A">
            <w:pPr>
              <w:widowControl/>
              <w:autoSpaceDE/>
              <w:autoSpaceDN/>
              <w:adjustRightInd/>
              <w:rPr>
                <w:rFonts w:ascii="Cambria" w:hAnsi="Cambria" w:cs="Calibri"/>
                <w:sz w:val="16"/>
                <w:szCs w:val="18"/>
                <w:lang w:val="es-ES_tradnl"/>
              </w:rPr>
            </w:pPr>
          </w:p>
        </w:tc>
        <w:tc>
          <w:tcPr>
            <w:tcW w:w="6211" w:type="dxa"/>
            <w:gridSpan w:val="7"/>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Vencimiento en años</w:t>
            </w:r>
          </w:p>
        </w:tc>
      </w:tr>
      <w:tr w:rsidR="0007387A" w:rsidRPr="00205A13" w:rsidTr="00205A13">
        <w:trPr>
          <w:trHeight w:val="346"/>
        </w:trPr>
        <w:tc>
          <w:tcPr>
            <w:tcW w:w="2337" w:type="dxa"/>
            <w:shd w:val="clear" w:color="auto" w:fill="auto"/>
            <w:noWrap/>
            <w:vAlign w:val="bottom"/>
            <w:hideMark/>
          </w:tcPr>
          <w:p w:rsidR="0007387A" w:rsidRPr="00205A13" w:rsidRDefault="0007387A" w:rsidP="0007387A">
            <w:pPr>
              <w:widowControl/>
              <w:autoSpaceDE/>
              <w:autoSpaceDN/>
              <w:adjustRightInd/>
              <w:rPr>
                <w:rFonts w:ascii="Cambria" w:hAnsi="Cambria" w:cs="Calibri"/>
                <w:sz w:val="16"/>
                <w:szCs w:val="18"/>
              </w:rPr>
            </w:pPr>
          </w:p>
        </w:tc>
        <w:tc>
          <w:tcPr>
            <w:tcW w:w="1264"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w:t>
            </w:r>
          </w:p>
        </w:tc>
        <w:tc>
          <w:tcPr>
            <w:tcW w:w="856"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2</w:t>
            </w:r>
          </w:p>
        </w:tc>
        <w:tc>
          <w:tcPr>
            <w:tcW w:w="856"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3</w:t>
            </w:r>
          </w:p>
        </w:tc>
        <w:tc>
          <w:tcPr>
            <w:tcW w:w="856"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4</w:t>
            </w:r>
          </w:p>
        </w:tc>
        <w:tc>
          <w:tcPr>
            <w:tcW w:w="856"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5</w:t>
            </w:r>
          </w:p>
        </w:tc>
        <w:tc>
          <w:tcPr>
            <w:tcW w:w="443"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Más de 5</w:t>
            </w:r>
          </w:p>
        </w:tc>
        <w:tc>
          <w:tcPr>
            <w:tcW w:w="1081" w:type="dxa"/>
            <w:shd w:val="clear" w:color="000000" w:fill="D8D8D8"/>
            <w:noWrap/>
            <w:vAlign w:val="bottom"/>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TOTAL</w:t>
            </w:r>
          </w:p>
        </w:tc>
      </w:tr>
      <w:tr w:rsidR="0007387A" w:rsidRPr="00205A13" w:rsidTr="00205A13">
        <w:trPr>
          <w:trHeight w:val="250"/>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b/>
                <w:bCs/>
                <w:sz w:val="16"/>
                <w:szCs w:val="18"/>
              </w:rPr>
            </w:pPr>
            <w:r w:rsidRPr="00205A13">
              <w:rPr>
                <w:rFonts w:ascii="Cambria" w:hAnsi="Cambria" w:cs="Calibri"/>
                <w:b/>
                <w:bCs/>
                <w:sz w:val="16"/>
                <w:szCs w:val="18"/>
              </w:rPr>
              <w:t>Deudas a largo plazo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r>
      <w:tr w:rsidR="0007387A" w:rsidRPr="00205A13" w:rsidTr="00205A13">
        <w:trPr>
          <w:trHeight w:val="358"/>
        </w:trPr>
        <w:tc>
          <w:tcPr>
            <w:tcW w:w="2337" w:type="dxa"/>
            <w:shd w:val="clear" w:color="auto" w:fill="auto"/>
            <w:noWrap/>
            <w:vAlign w:val="center"/>
            <w:hideMark/>
          </w:tcPr>
          <w:p w:rsidR="0007387A" w:rsidRPr="00205A13" w:rsidRDefault="0007387A" w:rsidP="0007387A">
            <w:pPr>
              <w:widowControl/>
              <w:autoSpaceDE/>
              <w:autoSpaceDN/>
              <w:adjustRightInd/>
              <w:jc w:val="both"/>
              <w:rPr>
                <w:rFonts w:ascii="Cambria" w:hAnsi="Cambria" w:cs="Calibri"/>
                <w:sz w:val="16"/>
                <w:szCs w:val="18"/>
              </w:rPr>
            </w:pPr>
            <w:r w:rsidRPr="00205A13">
              <w:rPr>
                <w:rFonts w:ascii="Cambria" w:hAnsi="Cambria" w:cs="Calibri"/>
                <w:sz w:val="16"/>
                <w:szCs w:val="18"/>
              </w:rPr>
              <w:t>Deudas con entidades de crédito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Acreedores por arrendamiento financiero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Otras deudas a largo plazo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b/>
                <w:bCs/>
                <w:sz w:val="16"/>
                <w:szCs w:val="18"/>
              </w:rPr>
            </w:pPr>
            <w:r w:rsidRPr="00205A13">
              <w:rPr>
                <w:rFonts w:ascii="Cambria" w:hAnsi="Cambria" w:cs="Calibri"/>
                <w:b/>
                <w:bCs/>
                <w:sz w:val="16"/>
                <w:szCs w:val="18"/>
              </w:rPr>
              <w:t xml:space="preserve">Deudas con </w:t>
            </w:r>
            <w:proofErr w:type="spellStart"/>
            <w:r w:rsidRPr="00205A13">
              <w:rPr>
                <w:rFonts w:ascii="Cambria" w:hAnsi="Cambria" w:cs="Calibri"/>
                <w:b/>
                <w:bCs/>
                <w:sz w:val="16"/>
                <w:szCs w:val="18"/>
              </w:rPr>
              <w:t>emp</w:t>
            </w:r>
            <w:proofErr w:type="spellEnd"/>
            <w:r w:rsidRPr="00205A13">
              <w:rPr>
                <w:rFonts w:ascii="Cambria" w:hAnsi="Cambria" w:cs="Calibri"/>
                <w:b/>
                <w:bCs/>
                <w:sz w:val="16"/>
                <w:szCs w:val="18"/>
              </w:rPr>
              <w:t>. Grupo y asociadas a largo plazo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86.177,16</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86.177,16</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86.177,16</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17.374,34</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275.905,82</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b/>
                <w:bCs/>
                <w:sz w:val="16"/>
                <w:szCs w:val="18"/>
              </w:rPr>
            </w:pPr>
            <w:r w:rsidRPr="00205A13">
              <w:rPr>
                <w:rFonts w:ascii="Cambria" w:hAnsi="Cambria" w:cs="Calibri"/>
                <w:b/>
                <w:bCs/>
                <w:sz w:val="16"/>
                <w:szCs w:val="18"/>
              </w:rPr>
              <w:t>Deudas a corto plazo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199.052,50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199.052,50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Deudas con entidades de crédito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Acreedores por arrendamiento financiero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Otras deudas a corto plazo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16.461,32</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16.461,32</w:t>
            </w:r>
          </w:p>
        </w:tc>
      </w:tr>
      <w:tr w:rsidR="0007387A" w:rsidRPr="00205A13" w:rsidTr="00205A13">
        <w:trPr>
          <w:trHeight w:val="393"/>
        </w:trPr>
        <w:tc>
          <w:tcPr>
            <w:tcW w:w="2337" w:type="dxa"/>
            <w:shd w:val="clear" w:color="auto" w:fill="auto"/>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Deudas con empresas del grupo y asociadas a corto plazo</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182.591,18</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182.591,18</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b/>
                <w:bCs/>
                <w:sz w:val="16"/>
                <w:szCs w:val="18"/>
              </w:rPr>
            </w:pPr>
            <w:r w:rsidRPr="00205A13">
              <w:rPr>
                <w:rFonts w:ascii="Cambria" w:hAnsi="Cambria" w:cs="Calibri"/>
                <w:b/>
                <w:bCs/>
                <w:sz w:val="16"/>
                <w:szCs w:val="18"/>
              </w:rPr>
              <w:t>Acreedores comerciales y otras cuentas a pagar</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1.350.149,30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1.350.149,30</w:t>
            </w:r>
          </w:p>
        </w:tc>
      </w:tr>
      <w:tr w:rsidR="0007387A" w:rsidRPr="00205A13" w:rsidTr="00205A13">
        <w:trPr>
          <w:trHeight w:val="239"/>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Proveedores</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0,00</w:t>
            </w:r>
          </w:p>
        </w:tc>
      </w:tr>
      <w:tr w:rsidR="0007387A" w:rsidRPr="00205A13" w:rsidTr="00205A13">
        <w:trPr>
          <w:trHeight w:val="250"/>
        </w:trPr>
        <w:tc>
          <w:tcPr>
            <w:tcW w:w="2337" w:type="dxa"/>
            <w:shd w:val="clear" w:color="auto" w:fill="auto"/>
            <w:noWrap/>
            <w:vAlign w:val="center"/>
            <w:hideMark/>
          </w:tcPr>
          <w:p w:rsidR="0007387A" w:rsidRPr="00205A13" w:rsidRDefault="0007387A" w:rsidP="0007387A">
            <w:pPr>
              <w:widowControl/>
              <w:autoSpaceDE/>
              <w:autoSpaceDN/>
              <w:adjustRightInd/>
              <w:rPr>
                <w:rFonts w:ascii="Cambria" w:hAnsi="Cambria" w:cs="Calibri"/>
                <w:sz w:val="16"/>
                <w:szCs w:val="18"/>
              </w:rPr>
            </w:pPr>
            <w:r w:rsidRPr="00205A13">
              <w:rPr>
                <w:rFonts w:ascii="Cambria" w:hAnsi="Cambria" w:cs="Calibri"/>
                <w:sz w:val="16"/>
                <w:szCs w:val="18"/>
              </w:rPr>
              <w:t>Otros acreedores</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1.350.149,30</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 </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sz w:val="16"/>
                <w:szCs w:val="18"/>
              </w:rPr>
            </w:pPr>
            <w:r w:rsidRPr="00205A13">
              <w:rPr>
                <w:rFonts w:ascii="Cambria" w:hAnsi="Cambria" w:cs="Calibri"/>
                <w:sz w:val="16"/>
                <w:szCs w:val="18"/>
              </w:rPr>
              <w:t>1.350.149,30</w:t>
            </w:r>
          </w:p>
        </w:tc>
      </w:tr>
      <w:tr w:rsidR="0007387A" w:rsidRPr="00205A13" w:rsidTr="00205A13">
        <w:trPr>
          <w:trHeight w:val="250"/>
        </w:trPr>
        <w:tc>
          <w:tcPr>
            <w:tcW w:w="2337"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TOTAL</w:t>
            </w:r>
          </w:p>
        </w:tc>
        <w:tc>
          <w:tcPr>
            <w:tcW w:w="1264"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1.731.792,98</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86.177,16</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86.177,16</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86.177,16</w:t>
            </w:r>
          </w:p>
        </w:tc>
        <w:tc>
          <w:tcPr>
            <w:tcW w:w="856"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17.374,34</w:t>
            </w:r>
          </w:p>
        </w:tc>
        <w:tc>
          <w:tcPr>
            <w:tcW w:w="443"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0,00</w:t>
            </w:r>
          </w:p>
        </w:tc>
        <w:tc>
          <w:tcPr>
            <w:tcW w:w="1081" w:type="dxa"/>
            <w:shd w:val="clear" w:color="auto" w:fill="auto"/>
            <w:noWrap/>
            <w:vAlign w:val="center"/>
            <w:hideMark/>
          </w:tcPr>
          <w:p w:rsidR="0007387A" w:rsidRPr="00205A13" w:rsidRDefault="0007387A" w:rsidP="0007387A">
            <w:pPr>
              <w:widowControl/>
              <w:autoSpaceDE/>
              <w:autoSpaceDN/>
              <w:adjustRightInd/>
              <w:jc w:val="center"/>
              <w:rPr>
                <w:rFonts w:ascii="Cambria" w:hAnsi="Cambria" w:cs="Calibri"/>
                <w:b/>
                <w:bCs/>
                <w:sz w:val="16"/>
                <w:szCs w:val="18"/>
              </w:rPr>
            </w:pPr>
            <w:r w:rsidRPr="00205A13">
              <w:rPr>
                <w:rFonts w:ascii="Cambria" w:hAnsi="Cambria" w:cs="Calibri"/>
                <w:b/>
                <w:bCs/>
                <w:sz w:val="16"/>
                <w:szCs w:val="18"/>
              </w:rPr>
              <w:t>1.825.107,62</w:t>
            </w:r>
          </w:p>
        </w:tc>
      </w:tr>
    </w:tbl>
    <w:p w:rsidR="00AC54A8" w:rsidRDefault="00AC54A8" w:rsidP="00137FCE">
      <w:pPr>
        <w:widowControl/>
        <w:autoSpaceDE/>
        <w:autoSpaceDN/>
        <w:adjustRightInd/>
        <w:ind w:left="709"/>
        <w:jc w:val="both"/>
        <w:rPr>
          <w:rFonts w:ascii="Times New Roman" w:hAnsi="Times New Roman" w:cs="Times New Roman"/>
          <w:spacing w:val="-2"/>
          <w:sz w:val="22"/>
          <w:szCs w:val="22"/>
          <w:lang w:val="es-ES_tradnl" w:eastAsia="es-ES_tradnl"/>
        </w:rPr>
      </w:pPr>
    </w:p>
    <w:p w:rsidR="006C0067" w:rsidRPr="00CD0825" w:rsidRDefault="00714748" w:rsidP="00934221">
      <w:pPr>
        <w:shd w:val="clear" w:color="auto" w:fill="FFFFFF"/>
        <w:spacing w:before="240"/>
        <w:ind w:firstLine="709"/>
        <w:jc w:val="both"/>
        <w:rPr>
          <w:rFonts w:ascii="Times New Roman" w:hAnsi="Times New Roman" w:cs="Times New Roman"/>
          <w:b/>
          <w:spacing w:val="-3"/>
          <w:sz w:val="22"/>
          <w:szCs w:val="22"/>
          <w:lang w:val="es-ES_tradnl" w:eastAsia="es-ES_tradnl"/>
        </w:rPr>
      </w:pPr>
      <w:r>
        <w:rPr>
          <w:rFonts w:ascii="Times New Roman" w:hAnsi="Times New Roman" w:cs="Times New Roman"/>
          <w:b/>
          <w:spacing w:val="-3"/>
          <w:sz w:val="22"/>
          <w:szCs w:val="22"/>
          <w:lang w:val="es-ES_tradnl" w:eastAsia="es-ES_tradnl"/>
        </w:rPr>
        <w:t>B.4.</w:t>
      </w:r>
      <w:r w:rsidR="006C0067" w:rsidRPr="00CD0825">
        <w:rPr>
          <w:rFonts w:ascii="Times New Roman" w:hAnsi="Times New Roman" w:cs="Times New Roman"/>
          <w:b/>
          <w:spacing w:val="-3"/>
          <w:sz w:val="22"/>
          <w:szCs w:val="22"/>
          <w:lang w:val="es-ES_tradnl" w:eastAsia="es-ES_tradnl"/>
        </w:rPr>
        <w:t xml:space="preserve"> Otros pasivos financieros:</w:t>
      </w:r>
    </w:p>
    <w:p w:rsidR="006C0067" w:rsidRPr="00CD0825" w:rsidRDefault="006C0067" w:rsidP="00934221">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D0825">
        <w:rPr>
          <w:rFonts w:ascii="Times New Roman" w:hAnsi="Times New Roman" w:cs="Times New Roman"/>
          <w:spacing w:val="-3"/>
          <w:sz w:val="22"/>
          <w:szCs w:val="22"/>
          <w:lang w:val="es-ES_tradnl" w:eastAsia="es-ES_tradnl"/>
        </w:rPr>
        <w:t xml:space="preserve">Los pasivos financieros clasificados como </w:t>
      </w:r>
      <w:r w:rsidR="00884FA1" w:rsidRPr="00CD0825">
        <w:rPr>
          <w:rFonts w:ascii="Times New Roman" w:hAnsi="Times New Roman" w:cs="Times New Roman"/>
          <w:spacing w:val="-3"/>
          <w:sz w:val="22"/>
          <w:szCs w:val="22"/>
          <w:lang w:val="es-ES_tradnl" w:eastAsia="es-ES_tradnl"/>
        </w:rPr>
        <w:t>Otros acreedores</w:t>
      </w:r>
      <w:r w:rsidRPr="00CD0825">
        <w:rPr>
          <w:rFonts w:ascii="Times New Roman" w:hAnsi="Times New Roman" w:cs="Times New Roman"/>
          <w:spacing w:val="-3"/>
          <w:sz w:val="22"/>
          <w:szCs w:val="22"/>
          <w:lang w:val="es-ES_tradnl" w:eastAsia="es-ES_tradnl"/>
        </w:rPr>
        <w:t xml:space="preserve"> corresponden en su mayoría a saldos con acreedores por operaciones comerciales a corto plazo que no devengan ningún tipo de interés y se encuentran valorados a precio de coste.</w:t>
      </w:r>
    </w:p>
    <w:p w:rsidR="001D2E73" w:rsidRDefault="00714748"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r>
        <w:rPr>
          <w:rFonts w:ascii="Times New Roman" w:hAnsi="Times New Roman" w:cs="Times New Roman"/>
          <w:b/>
          <w:spacing w:val="-3"/>
          <w:sz w:val="22"/>
          <w:szCs w:val="22"/>
          <w:lang w:val="es-ES_tradnl" w:eastAsia="es-ES_tradnl"/>
        </w:rPr>
        <w:t>B.5</w:t>
      </w:r>
      <w:r w:rsidR="000576A2">
        <w:rPr>
          <w:rFonts w:ascii="Times New Roman" w:hAnsi="Times New Roman" w:cs="Times New Roman"/>
          <w:b/>
          <w:spacing w:val="-3"/>
          <w:sz w:val="22"/>
          <w:szCs w:val="22"/>
          <w:lang w:val="es-ES_tradnl" w:eastAsia="es-ES_tradnl"/>
        </w:rPr>
        <w:t>.</w:t>
      </w:r>
      <w:r w:rsidR="00F07068">
        <w:rPr>
          <w:rFonts w:ascii="Times New Roman" w:hAnsi="Times New Roman" w:cs="Times New Roman"/>
          <w:b/>
          <w:spacing w:val="-3"/>
          <w:sz w:val="22"/>
          <w:szCs w:val="22"/>
          <w:lang w:val="es-ES_tradnl" w:eastAsia="es-ES_tradnl"/>
        </w:rPr>
        <w:t xml:space="preserve"> Deudas con entidades de crédito y deudas con garantía real</w:t>
      </w:r>
    </w:p>
    <w:p w:rsidR="00F07068" w:rsidRDefault="00F07068" w:rsidP="00934221">
      <w:pPr>
        <w:shd w:val="clear" w:color="auto" w:fill="FFFFFF"/>
        <w:spacing w:before="240"/>
        <w:ind w:firstLine="705"/>
        <w:jc w:val="both"/>
        <w:rPr>
          <w:rFonts w:ascii="Times New Roman" w:hAnsi="Times New Roman" w:cs="Times New Roman"/>
          <w:spacing w:val="-3"/>
          <w:sz w:val="22"/>
          <w:szCs w:val="22"/>
          <w:lang w:val="es-ES_tradnl" w:eastAsia="es-ES_tradnl"/>
        </w:rPr>
      </w:pPr>
      <w:r w:rsidRPr="00F07068">
        <w:rPr>
          <w:rFonts w:ascii="Times New Roman" w:hAnsi="Times New Roman" w:cs="Times New Roman"/>
          <w:spacing w:val="-3"/>
          <w:sz w:val="22"/>
          <w:szCs w:val="22"/>
          <w:lang w:val="es-ES_tradnl" w:eastAsia="es-ES_tradnl"/>
        </w:rPr>
        <w:t xml:space="preserve">La entidad no posee deudas </w:t>
      </w:r>
      <w:r>
        <w:rPr>
          <w:rFonts w:ascii="Times New Roman" w:hAnsi="Times New Roman" w:cs="Times New Roman"/>
          <w:spacing w:val="-3"/>
          <w:sz w:val="22"/>
          <w:szCs w:val="22"/>
          <w:lang w:val="es-ES_tradnl" w:eastAsia="es-ES_tradnl"/>
        </w:rPr>
        <w:t xml:space="preserve">con entidades de crédito ni deudas </w:t>
      </w:r>
      <w:r w:rsidRPr="00F07068">
        <w:rPr>
          <w:rFonts w:ascii="Times New Roman" w:hAnsi="Times New Roman" w:cs="Times New Roman"/>
          <w:spacing w:val="-3"/>
          <w:sz w:val="22"/>
          <w:szCs w:val="22"/>
          <w:lang w:val="es-ES_tradnl" w:eastAsia="es-ES_tradnl"/>
        </w:rPr>
        <w:t>con garantía real.</w:t>
      </w:r>
    </w:p>
    <w:p w:rsidR="00F07068" w:rsidRPr="00F07068" w:rsidRDefault="00714748" w:rsidP="00F07068">
      <w:pPr>
        <w:shd w:val="clear" w:color="auto" w:fill="FFFFFF"/>
        <w:spacing w:before="240"/>
        <w:ind w:firstLine="705"/>
        <w:jc w:val="both"/>
        <w:rPr>
          <w:rFonts w:ascii="Times New Roman" w:hAnsi="Times New Roman" w:cs="Times New Roman"/>
          <w:b/>
          <w:spacing w:val="-3"/>
          <w:sz w:val="22"/>
          <w:szCs w:val="22"/>
          <w:lang w:val="es-ES_tradnl" w:eastAsia="es-ES_tradnl"/>
        </w:rPr>
      </w:pPr>
      <w:r>
        <w:rPr>
          <w:rFonts w:ascii="Times New Roman" w:hAnsi="Times New Roman" w:cs="Times New Roman"/>
          <w:b/>
          <w:spacing w:val="-3"/>
          <w:sz w:val="22"/>
          <w:szCs w:val="22"/>
          <w:lang w:val="es-ES_tradnl" w:eastAsia="es-ES_tradnl"/>
        </w:rPr>
        <w:t>B.6</w:t>
      </w:r>
      <w:r w:rsidR="000576A2">
        <w:rPr>
          <w:rFonts w:ascii="Times New Roman" w:hAnsi="Times New Roman" w:cs="Times New Roman"/>
          <w:b/>
          <w:spacing w:val="-3"/>
          <w:sz w:val="22"/>
          <w:szCs w:val="22"/>
          <w:lang w:val="es-ES_tradnl" w:eastAsia="es-ES_tradnl"/>
        </w:rPr>
        <w:t>.</w:t>
      </w:r>
      <w:r w:rsidR="00F07068">
        <w:rPr>
          <w:rFonts w:ascii="Times New Roman" w:hAnsi="Times New Roman" w:cs="Times New Roman"/>
          <w:b/>
          <w:spacing w:val="-3"/>
          <w:sz w:val="22"/>
          <w:szCs w:val="22"/>
          <w:lang w:val="es-ES_tradnl" w:eastAsia="es-ES_tradnl"/>
        </w:rPr>
        <w:t xml:space="preserve"> </w:t>
      </w:r>
      <w:r w:rsidR="00F07068" w:rsidRPr="00F07068">
        <w:rPr>
          <w:rFonts w:ascii="Times New Roman" w:hAnsi="Times New Roman" w:cs="Times New Roman"/>
          <w:b/>
          <w:spacing w:val="-3"/>
          <w:sz w:val="22"/>
          <w:szCs w:val="22"/>
          <w:lang w:val="es-ES_tradnl" w:eastAsia="es-ES_tradnl"/>
        </w:rPr>
        <w:t>Información sobre la naturaleza y el nivel de riesgo procedente de instrumentos financieros</w:t>
      </w:r>
    </w:p>
    <w:p w:rsidR="00F07068" w:rsidRDefault="00F07068" w:rsidP="00F07068">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F07068">
        <w:rPr>
          <w:rFonts w:ascii="Times New Roman" w:hAnsi="Times New Roman" w:cs="Times New Roman"/>
          <w:spacing w:val="-3"/>
          <w:sz w:val="22"/>
          <w:szCs w:val="22"/>
          <w:lang w:val="es-ES_tradnl" w:eastAsia="es-ES_tradnl"/>
        </w:rPr>
        <w:t>La sociedad dada su tipología y actividad que desarrolla no posee riesgos de crédito ni riesg</w:t>
      </w:r>
      <w:r>
        <w:rPr>
          <w:rFonts w:ascii="Times New Roman" w:hAnsi="Times New Roman" w:cs="Times New Roman"/>
          <w:spacing w:val="-3"/>
          <w:sz w:val="22"/>
          <w:szCs w:val="22"/>
          <w:lang w:val="es-ES_tradnl" w:eastAsia="es-ES_tradnl"/>
        </w:rPr>
        <w:t>os de mercado</w:t>
      </w:r>
      <w:r w:rsidRPr="00F07068">
        <w:rPr>
          <w:rFonts w:ascii="Times New Roman" w:hAnsi="Times New Roman" w:cs="Times New Roman"/>
          <w:spacing w:val="-3"/>
          <w:sz w:val="22"/>
          <w:szCs w:val="22"/>
          <w:lang w:val="es-ES_tradnl" w:eastAsia="es-ES_tradnl"/>
        </w:rPr>
        <w:t xml:space="preserve">, incluyendo </w:t>
      </w:r>
      <w:r>
        <w:rPr>
          <w:rFonts w:ascii="Times New Roman" w:hAnsi="Times New Roman" w:cs="Times New Roman"/>
          <w:spacing w:val="-3"/>
          <w:sz w:val="22"/>
          <w:szCs w:val="22"/>
          <w:lang w:val="es-ES_tradnl" w:eastAsia="es-ES_tradnl"/>
        </w:rPr>
        <w:t xml:space="preserve">dentro de éstos últimos los </w:t>
      </w:r>
      <w:r w:rsidRPr="00F07068">
        <w:rPr>
          <w:rFonts w:ascii="Times New Roman" w:hAnsi="Times New Roman" w:cs="Times New Roman"/>
          <w:spacing w:val="-3"/>
          <w:sz w:val="22"/>
          <w:szCs w:val="22"/>
          <w:lang w:val="es-ES_tradnl" w:eastAsia="es-ES_tradnl"/>
        </w:rPr>
        <w:t>riesgos de tipo de cambio, de tipo de interés y de tipo de precio.</w:t>
      </w:r>
    </w:p>
    <w:p w:rsidR="00ED3C8D" w:rsidRPr="00ED3C8D" w:rsidRDefault="00F07068" w:rsidP="00ED3C8D">
      <w:pPr>
        <w:shd w:val="clear" w:color="auto" w:fill="FFFFFF"/>
        <w:spacing w:before="216"/>
        <w:ind w:left="705" w:right="36"/>
        <w:jc w:val="both"/>
        <w:rPr>
          <w:rFonts w:ascii="Times New Roman" w:hAnsi="Times New Roman" w:cs="Times New Roman"/>
          <w:spacing w:val="-3"/>
          <w:sz w:val="22"/>
          <w:szCs w:val="22"/>
          <w:lang w:val="es-ES_tradnl" w:eastAsia="es-ES_tradnl"/>
        </w:rPr>
      </w:pPr>
      <w:r>
        <w:rPr>
          <w:rFonts w:ascii="Times New Roman" w:hAnsi="Times New Roman" w:cs="Times New Roman"/>
          <w:spacing w:val="-3"/>
          <w:sz w:val="22"/>
          <w:szCs w:val="22"/>
          <w:lang w:val="es-ES_tradnl" w:eastAsia="es-ES_tradnl"/>
        </w:rPr>
        <w:t xml:space="preserve">En cuanto al riesgo de liquidez, a raíz de la ampliación de capital producida en el presente ejercicio 2020, la sociedad está efectuando </w:t>
      </w:r>
      <w:r w:rsidR="00ED3C8D" w:rsidRPr="00ED3C8D">
        <w:rPr>
          <w:rFonts w:ascii="Times New Roman" w:hAnsi="Times New Roman" w:cs="Times New Roman"/>
          <w:spacing w:val="-3"/>
          <w:sz w:val="22"/>
          <w:szCs w:val="22"/>
          <w:lang w:val="es-ES_tradnl" w:eastAsia="es-ES_tradnl"/>
        </w:rPr>
        <w:t>mantiene una gestión adecuada del riesgo de liquidez a través de la disposición de efectivo y otros activos líquidos equivalentes, la cual se considera suficiente para afrontar las necesidades previstas.</w:t>
      </w:r>
    </w:p>
    <w:p w:rsidR="006C0067" w:rsidRPr="001F5027" w:rsidRDefault="00714748"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r>
        <w:rPr>
          <w:rFonts w:ascii="Times New Roman" w:hAnsi="Times New Roman" w:cs="Times New Roman"/>
          <w:b/>
          <w:spacing w:val="-3"/>
          <w:sz w:val="22"/>
          <w:szCs w:val="22"/>
          <w:lang w:val="es-ES_tradnl" w:eastAsia="es-ES_tradnl"/>
        </w:rPr>
        <w:t>B.7</w:t>
      </w:r>
      <w:r w:rsidR="006C0067" w:rsidRPr="001F5027">
        <w:rPr>
          <w:rFonts w:ascii="Times New Roman" w:hAnsi="Times New Roman" w:cs="Times New Roman"/>
          <w:b/>
          <w:spacing w:val="-3"/>
          <w:sz w:val="22"/>
          <w:szCs w:val="22"/>
          <w:lang w:val="es-ES_tradnl" w:eastAsia="es-ES_tradnl"/>
        </w:rPr>
        <w:t>. Deudas empresas del grupo:</w:t>
      </w:r>
    </w:p>
    <w:p w:rsidR="00CD0825" w:rsidRPr="001F5027" w:rsidRDefault="006C0067" w:rsidP="00137FCE">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1F5027">
        <w:rPr>
          <w:rFonts w:ascii="Times New Roman" w:hAnsi="Times New Roman" w:cs="Times New Roman"/>
          <w:spacing w:val="-3"/>
          <w:sz w:val="22"/>
          <w:szCs w:val="22"/>
          <w:lang w:val="es-ES_tradnl" w:eastAsia="es-ES_tradnl"/>
        </w:rPr>
        <w:t xml:space="preserve">Los pasivos financieros con empresas del grupo se ajustan a lo establecido por la Resolución de concesión de operación de crédito a largo plazo por importe </w:t>
      </w:r>
      <w:r w:rsidR="00236CFC" w:rsidRPr="001F5027">
        <w:rPr>
          <w:rFonts w:ascii="Times New Roman" w:hAnsi="Times New Roman" w:cs="Times New Roman"/>
          <w:spacing w:val="-3"/>
          <w:sz w:val="22"/>
          <w:szCs w:val="22"/>
          <w:lang w:val="es-ES_tradnl" w:eastAsia="es-ES_tradnl"/>
        </w:rPr>
        <w:t xml:space="preserve">de capital pendiente </w:t>
      </w:r>
      <w:r w:rsidRPr="001F5027">
        <w:rPr>
          <w:rFonts w:ascii="Times New Roman" w:hAnsi="Times New Roman" w:cs="Times New Roman"/>
          <w:spacing w:val="-3"/>
          <w:sz w:val="22"/>
          <w:szCs w:val="22"/>
          <w:lang w:val="es-ES_tradnl" w:eastAsia="es-ES_tradnl"/>
        </w:rPr>
        <w:t xml:space="preserve">de </w:t>
      </w:r>
      <w:r w:rsidR="00DA20CD" w:rsidRPr="001F5027">
        <w:rPr>
          <w:rFonts w:ascii="Times New Roman" w:hAnsi="Times New Roman" w:cs="Times New Roman"/>
          <w:spacing w:val="-3"/>
          <w:sz w:val="22"/>
          <w:szCs w:val="22"/>
          <w:lang w:val="es-ES_tradnl" w:eastAsia="es-ES_tradnl"/>
        </w:rPr>
        <w:t>275.905,82</w:t>
      </w:r>
      <w:r w:rsidR="0014391A" w:rsidRPr="001F5027">
        <w:rPr>
          <w:rFonts w:ascii="Times New Roman" w:hAnsi="Times New Roman" w:cs="Times New Roman"/>
          <w:spacing w:val="-3"/>
          <w:sz w:val="22"/>
          <w:szCs w:val="22"/>
          <w:lang w:val="es-ES_tradnl" w:eastAsia="es-ES_tradnl"/>
        </w:rPr>
        <w:t xml:space="preserve"> e</w:t>
      </w:r>
      <w:r w:rsidRPr="001F5027">
        <w:rPr>
          <w:rFonts w:ascii="Times New Roman" w:hAnsi="Times New Roman" w:cs="Times New Roman"/>
          <w:spacing w:val="-3"/>
          <w:sz w:val="22"/>
          <w:szCs w:val="22"/>
          <w:lang w:val="es-ES_tradnl" w:eastAsia="es-ES_tradnl"/>
        </w:rPr>
        <w:t>uros</w:t>
      </w:r>
      <w:r w:rsidR="00855A34" w:rsidRPr="001F5027">
        <w:rPr>
          <w:rFonts w:ascii="Times New Roman" w:hAnsi="Times New Roman" w:cs="Times New Roman"/>
          <w:spacing w:val="-3"/>
          <w:sz w:val="22"/>
          <w:szCs w:val="22"/>
          <w:lang w:val="es-ES_tradnl" w:eastAsia="es-ES_tradnl"/>
        </w:rPr>
        <w:t xml:space="preserve"> en el presente ejercicio y de </w:t>
      </w:r>
      <w:r w:rsidR="00DA20CD" w:rsidRPr="001F5027">
        <w:rPr>
          <w:rFonts w:ascii="Times New Roman" w:hAnsi="Times New Roman" w:cs="Times New Roman"/>
          <w:spacing w:val="-3"/>
          <w:sz w:val="22"/>
          <w:szCs w:val="22"/>
          <w:lang w:val="es-ES_tradnl" w:eastAsia="es-ES_tradnl"/>
        </w:rPr>
        <w:t>362.082,96</w:t>
      </w:r>
      <w:r w:rsidR="00855A34" w:rsidRPr="001F5027">
        <w:rPr>
          <w:rFonts w:ascii="Times New Roman" w:hAnsi="Times New Roman" w:cs="Times New Roman"/>
          <w:spacing w:val="-3"/>
          <w:sz w:val="22"/>
          <w:szCs w:val="22"/>
          <w:lang w:val="es-ES_tradnl" w:eastAsia="es-ES_tradnl"/>
        </w:rPr>
        <w:t xml:space="preserve"> </w:t>
      </w:r>
      <w:r w:rsidR="0014391A" w:rsidRPr="001F5027">
        <w:rPr>
          <w:rFonts w:ascii="Times New Roman" w:hAnsi="Times New Roman" w:cs="Times New Roman"/>
          <w:spacing w:val="-3"/>
          <w:sz w:val="22"/>
          <w:szCs w:val="22"/>
          <w:lang w:val="es-ES_tradnl" w:eastAsia="es-ES_tradnl"/>
        </w:rPr>
        <w:t>e</w:t>
      </w:r>
      <w:r w:rsidR="00111B3F" w:rsidRPr="001F5027">
        <w:rPr>
          <w:rFonts w:ascii="Times New Roman" w:hAnsi="Times New Roman" w:cs="Times New Roman"/>
          <w:spacing w:val="-3"/>
          <w:sz w:val="22"/>
          <w:szCs w:val="22"/>
          <w:lang w:val="es-ES_tradnl" w:eastAsia="es-ES_tradnl"/>
        </w:rPr>
        <w:t xml:space="preserve">uros </w:t>
      </w:r>
      <w:r w:rsidR="00855A34" w:rsidRPr="001F5027">
        <w:rPr>
          <w:rFonts w:ascii="Times New Roman" w:hAnsi="Times New Roman" w:cs="Times New Roman"/>
          <w:spacing w:val="-3"/>
          <w:sz w:val="22"/>
          <w:szCs w:val="22"/>
          <w:lang w:val="es-ES_tradnl" w:eastAsia="es-ES_tradnl"/>
        </w:rPr>
        <w:t>para el ejercicio anterior,</w:t>
      </w:r>
      <w:r w:rsidR="00F7134A" w:rsidRPr="001F5027">
        <w:rPr>
          <w:rFonts w:ascii="Times New Roman" w:hAnsi="Times New Roman" w:cs="Times New Roman"/>
          <w:spacing w:val="-3"/>
          <w:sz w:val="22"/>
          <w:szCs w:val="22"/>
          <w:lang w:val="es-ES_tradnl" w:eastAsia="es-ES_tradnl"/>
        </w:rPr>
        <w:t xml:space="preserve"> y a corto plazo por importe de </w:t>
      </w:r>
      <w:r w:rsidR="00884FA1" w:rsidRPr="001F5027">
        <w:rPr>
          <w:rFonts w:ascii="Times New Roman" w:hAnsi="Times New Roman" w:cs="Times New Roman"/>
          <w:spacing w:val="-3"/>
          <w:sz w:val="22"/>
          <w:szCs w:val="22"/>
          <w:lang w:val="es-ES_tradnl" w:eastAsia="es-ES_tradnl"/>
        </w:rPr>
        <w:t>1</w:t>
      </w:r>
      <w:r w:rsidR="00DA20CD" w:rsidRPr="001F5027">
        <w:rPr>
          <w:rFonts w:ascii="Times New Roman" w:hAnsi="Times New Roman" w:cs="Times New Roman"/>
          <w:spacing w:val="-3"/>
          <w:sz w:val="22"/>
          <w:szCs w:val="22"/>
          <w:lang w:val="es-ES_tradnl" w:eastAsia="es-ES_tradnl"/>
        </w:rPr>
        <w:t>76</w:t>
      </w:r>
      <w:r w:rsidR="00884FA1" w:rsidRPr="001F5027">
        <w:rPr>
          <w:rFonts w:ascii="Times New Roman" w:hAnsi="Times New Roman" w:cs="Times New Roman"/>
          <w:spacing w:val="-3"/>
          <w:sz w:val="22"/>
          <w:szCs w:val="22"/>
          <w:lang w:val="es-ES_tradnl" w:eastAsia="es-ES_tradnl"/>
        </w:rPr>
        <w:t>.</w:t>
      </w:r>
      <w:r w:rsidR="00111B3F" w:rsidRPr="001F5027">
        <w:rPr>
          <w:rFonts w:ascii="Times New Roman" w:hAnsi="Times New Roman" w:cs="Times New Roman"/>
          <w:spacing w:val="-3"/>
          <w:sz w:val="22"/>
          <w:szCs w:val="22"/>
          <w:lang w:val="es-ES_tradnl" w:eastAsia="es-ES_tradnl"/>
        </w:rPr>
        <w:t>524</w:t>
      </w:r>
      <w:r w:rsidR="00884FA1" w:rsidRPr="001F5027">
        <w:rPr>
          <w:rFonts w:ascii="Times New Roman" w:hAnsi="Times New Roman" w:cs="Times New Roman"/>
          <w:spacing w:val="-3"/>
          <w:sz w:val="22"/>
          <w:szCs w:val="22"/>
          <w:lang w:val="es-ES_tradnl" w:eastAsia="es-ES_tradnl"/>
        </w:rPr>
        <w:t>,</w:t>
      </w:r>
      <w:r w:rsidR="00DA20CD" w:rsidRPr="001F5027">
        <w:rPr>
          <w:rFonts w:ascii="Times New Roman" w:hAnsi="Times New Roman" w:cs="Times New Roman"/>
          <w:spacing w:val="-3"/>
          <w:sz w:val="22"/>
          <w:szCs w:val="22"/>
          <w:lang w:val="es-ES_tradnl" w:eastAsia="es-ES_tradnl"/>
        </w:rPr>
        <w:t>15</w:t>
      </w:r>
      <w:r w:rsidR="00855A34" w:rsidRPr="001F5027">
        <w:rPr>
          <w:rFonts w:ascii="Times New Roman" w:hAnsi="Times New Roman" w:cs="Times New Roman"/>
          <w:spacing w:val="-3"/>
          <w:sz w:val="22"/>
          <w:szCs w:val="22"/>
          <w:lang w:val="es-ES_tradnl" w:eastAsia="es-ES_tradnl"/>
        </w:rPr>
        <w:t xml:space="preserve"> </w:t>
      </w:r>
      <w:r w:rsidR="0014391A" w:rsidRPr="001F5027">
        <w:rPr>
          <w:rFonts w:ascii="Times New Roman" w:hAnsi="Times New Roman" w:cs="Times New Roman"/>
          <w:spacing w:val="-3"/>
          <w:sz w:val="22"/>
          <w:szCs w:val="22"/>
          <w:lang w:val="es-ES_tradnl" w:eastAsia="es-ES_tradnl"/>
        </w:rPr>
        <w:t>e</w:t>
      </w:r>
      <w:r w:rsidR="00F7134A" w:rsidRPr="001F5027">
        <w:rPr>
          <w:rFonts w:ascii="Times New Roman" w:hAnsi="Times New Roman" w:cs="Times New Roman"/>
          <w:spacing w:val="-3"/>
          <w:sz w:val="22"/>
          <w:szCs w:val="22"/>
          <w:lang w:val="es-ES_tradnl" w:eastAsia="es-ES_tradnl"/>
        </w:rPr>
        <w:t>uros</w:t>
      </w:r>
      <w:r w:rsidR="00855A34" w:rsidRPr="001F5027">
        <w:rPr>
          <w:rFonts w:ascii="Times New Roman" w:hAnsi="Times New Roman" w:cs="Times New Roman"/>
          <w:spacing w:val="-3"/>
          <w:sz w:val="22"/>
          <w:szCs w:val="22"/>
          <w:lang w:val="es-ES_tradnl" w:eastAsia="es-ES_tradnl"/>
        </w:rPr>
        <w:t xml:space="preserve"> para el presente ejercicio y de </w:t>
      </w:r>
      <w:r w:rsidR="00DA20CD" w:rsidRPr="001F5027">
        <w:rPr>
          <w:rFonts w:ascii="Times New Roman" w:hAnsi="Times New Roman" w:cs="Times New Roman"/>
          <w:spacing w:val="-3"/>
          <w:sz w:val="22"/>
          <w:szCs w:val="22"/>
          <w:lang w:val="es-ES_tradnl" w:eastAsia="es-ES_tradnl"/>
        </w:rPr>
        <w:t>176.524,17</w:t>
      </w:r>
      <w:r w:rsidR="00111B3F" w:rsidRPr="001F5027">
        <w:rPr>
          <w:rFonts w:ascii="Times New Roman" w:hAnsi="Times New Roman" w:cs="Times New Roman"/>
          <w:spacing w:val="-3"/>
          <w:sz w:val="22"/>
          <w:szCs w:val="22"/>
          <w:lang w:val="es-ES_tradnl" w:eastAsia="es-ES_tradnl"/>
        </w:rPr>
        <w:t xml:space="preserve"> </w:t>
      </w:r>
      <w:r w:rsidR="0014391A" w:rsidRPr="001F5027">
        <w:rPr>
          <w:rFonts w:ascii="Times New Roman" w:hAnsi="Times New Roman" w:cs="Times New Roman"/>
          <w:spacing w:val="-3"/>
          <w:sz w:val="22"/>
          <w:szCs w:val="22"/>
          <w:lang w:val="es-ES_tradnl" w:eastAsia="es-ES_tradnl"/>
        </w:rPr>
        <w:t>e</w:t>
      </w:r>
      <w:r w:rsidR="00111B3F" w:rsidRPr="001F5027">
        <w:rPr>
          <w:rFonts w:ascii="Times New Roman" w:hAnsi="Times New Roman" w:cs="Times New Roman"/>
          <w:spacing w:val="-3"/>
          <w:sz w:val="22"/>
          <w:szCs w:val="22"/>
          <w:lang w:val="es-ES_tradnl" w:eastAsia="es-ES_tradnl"/>
        </w:rPr>
        <w:t>uros</w:t>
      </w:r>
      <w:r w:rsidR="00855A34" w:rsidRPr="001F5027">
        <w:rPr>
          <w:rFonts w:ascii="Times New Roman" w:hAnsi="Times New Roman" w:cs="Times New Roman"/>
          <w:spacing w:val="-3"/>
          <w:sz w:val="22"/>
          <w:szCs w:val="22"/>
          <w:lang w:val="es-ES_tradnl" w:eastAsia="es-ES_tradnl"/>
        </w:rPr>
        <w:t xml:space="preserve"> para el ejercicio anterior</w:t>
      </w:r>
      <w:r w:rsidRPr="001F5027">
        <w:rPr>
          <w:rFonts w:ascii="Times New Roman" w:hAnsi="Times New Roman" w:cs="Times New Roman"/>
          <w:spacing w:val="-3"/>
          <w:sz w:val="22"/>
          <w:szCs w:val="22"/>
          <w:lang w:val="es-ES_tradnl" w:eastAsia="es-ES_tradnl"/>
        </w:rPr>
        <w:t xml:space="preserve">, por parte del Ayuntamiento de Las Palmas de Gran Canaria a la sociedad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r w:rsidR="00236CFC" w:rsidRPr="001F5027">
        <w:rPr>
          <w:rFonts w:ascii="Times New Roman" w:hAnsi="Times New Roman" w:cs="Times New Roman"/>
          <w:spacing w:val="-3"/>
          <w:sz w:val="22"/>
          <w:szCs w:val="22"/>
          <w:lang w:val="es-ES_tradnl" w:eastAsia="es-ES_tradnl"/>
        </w:rPr>
        <w:t>Existiendo unos intereses devengados pendientes de pago por importe de 6.067,03 euros.</w:t>
      </w:r>
    </w:p>
    <w:p w:rsidR="00CD0825" w:rsidRPr="001F5027" w:rsidRDefault="00CD0825"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p>
    <w:p w:rsidR="001F2C56" w:rsidRPr="001F5027" w:rsidRDefault="00DA20CD"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r w:rsidRPr="001F5027">
        <w:rPr>
          <w:rFonts w:ascii="Times New Roman" w:hAnsi="Times New Roman" w:cs="Times New Roman"/>
          <w:spacing w:val="-3"/>
          <w:sz w:val="22"/>
          <w:szCs w:val="22"/>
          <w:lang w:val="es-ES_tradnl" w:eastAsia="es-ES_tradnl"/>
        </w:rPr>
        <w:t xml:space="preserve">Durante el ejercicio </w:t>
      </w:r>
      <w:r w:rsidR="00CD0825" w:rsidRPr="001F5027">
        <w:rPr>
          <w:rFonts w:ascii="Times New Roman" w:hAnsi="Times New Roman" w:cs="Times New Roman"/>
          <w:spacing w:val="-3"/>
          <w:sz w:val="22"/>
          <w:szCs w:val="22"/>
          <w:lang w:val="es-ES_tradnl" w:eastAsia="es-ES_tradnl"/>
        </w:rPr>
        <w:t>2020</w:t>
      </w:r>
      <w:r w:rsidR="007A12F4" w:rsidRPr="001F5027">
        <w:rPr>
          <w:rFonts w:ascii="Times New Roman" w:hAnsi="Times New Roman" w:cs="Times New Roman"/>
          <w:spacing w:val="-3"/>
          <w:sz w:val="22"/>
          <w:szCs w:val="22"/>
          <w:lang w:val="es-ES_tradnl" w:eastAsia="es-ES_tradnl"/>
        </w:rPr>
        <w:t xml:space="preserve"> el tipo medio de interés nominal del préstamo ha sido de 1,19%</w:t>
      </w:r>
      <w:r w:rsidR="00236CFC" w:rsidRPr="001F5027">
        <w:rPr>
          <w:rFonts w:ascii="Times New Roman" w:hAnsi="Times New Roman" w:cs="Times New Roman"/>
          <w:spacing w:val="-3"/>
          <w:sz w:val="22"/>
          <w:szCs w:val="22"/>
          <w:lang w:val="es-ES_tradnl" w:eastAsia="es-ES_tradnl"/>
        </w:rPr>
        <w:t xml:space="preserve"> </w:t>
      </w:r>
      <w:r w:rsidRPr="001F5027">
        <w:rPr>
          <w:rFonts w:ascii="Times New Roman" w:hAnsi="Times New Roman" w:cs="Times New Roman"/>
          <w:spacing w:val="-3"/>
          <w:sz w:val="22"/>
          <w:szCs w:val="22"/>
          <w:lang w:val="es-ES_tradnl" w:eastAsia="es-ES_tradnl"/>
        </w:rPr>
        <w:t>E</w:t>
      </w:r>
      <w:r w:rsidR="001F2C56" w:rsidRPr="001F5027">
        <w:rPr>
          <w:rFonts w:ascii="Times New Roman" w:hAnsi="Times New Roman" w:cs="Times New Roman"/>
          <w:spacing w:val="-3"/>
          <w:sz w:val="22"/>
          <w:szCs w:val="22"/>
          <w:lang w:val="es-ES_tradnl" w:eastAsia="es-ES_tradnl"/>
        </w:rPr>
        <w:t xml:space="preserve">l desglose por vencimiento del principal </w:t>
      </w:r>
      <w:r w:rsidRPr="001F5027">
        <w:rPr>
          <w:rFonts w:ascii="Times New Roman" w:hAnsi="Times New Roman" w:cs="Times New Roman"/>
          <w:spacing w:val="-3"/>
          <w:sz w:val="22"/>
          <w:szCs w:val="22"/>
          <w:lang w:val="es-ES_tradnl" w:eastAsia="es-ES_tradnl"/>
        </w:rPr>
        <w:t xml:space="preserve">para los próximos ejercicios por años es el </w:t>
      </w:r>
      <w:r w:rsidR="001F2C56" w:rsidRPr="001F5027">
        <w:rPr>
          <w:rFonts w:ascii="Times New Roman" w:hAnsi="Times New Roman" w:cs="Times New Roman"/>
          <w:spacing w:val="-3"/>
          <w:sz w:val="22"/>
          <w:szCs w:val="22"/>
          <w:lang w:val="es-ES_tradnl" w:eastAsia="es-ES_tradnl"/>
        </w:rPr>
        <w:t>siguiente:</w:t>
      </w:r>
    </w:p>
    <w:p w:rsidR="00717FE8" w:rsidRPr="001F5027" w:rsidRDefault="00717FE8"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6994" w:type="dxa"/>
        <w:jc w:val="center"/>
        <w:tblInd w:w="30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840"/>
        <w:gridCol w:w="2114"/>
        <w:gridCol w:w="2040"/>
      </w:tblGrid>
      <w:tr w:rsidR="001F2C56" w:rsidRPr="001F5027" w:rsidTr="007F7DF5">
        <w:trPr>
          <w:trHeight w:hRule="exact" w:val="340"/>
          <w:jc w:val="center"/>
        </w:trPr>
        <w:tc>
          <w:tcPr>
            <w:tcW w:w="2840" w:type="dxa"/>
            <w:shd w:val="clear" w:color="auto" w:fill="F2F2F2"/>
          </w:tcPr>
          <w:p w:rsidR="001F2C56" w:rsidRPr="001F5027" w:rsidRDefault="001F2C56" w:rsidP="000A288E">
            <w:pPr>
              <w:widowControl/>
              <w:autoSpaceDE/>
              <w:autoSpaceDN/>
              <w:adjustRightInd/>
              <w:jc w:val="center"/>
              <w:rPr>
                <w:rFonts w:asciiTheme="majorHAnsi" w:hAnsiTheme="majorHAnsi" w:cs="Times New Roman"/>
                <w:b/>
                <w:bCs/>
                <w:sz w:val="18"/>
                <w:szCs w:val="18"/>
              </w:rPr>
            </w:pPr>
          </w:p>
        </w:tc>
        <w:tc>
          <w:tcPr>
            <w:tcW w:w="4154" w:type="dxa"/>
            <w:gridSpan w:val="2"/>
            <w:shd w:val="clear" w:color="auto" w:fill="F2F2F2"/>
            <w:vAlign w:val="center"/>
          </w:tcPr>
          <w:p w:rsidR="001F2C56" w:rsidRPr="001F5027" w:rsidRDefault="001F2C56" w:rsidP="009A3538">
            <w:pPr>
              <w:widowControl/>
              <w:autoSpaceDE/>
              <w:autoSpaceDN/>
              <w:adjustRightInd/>
              <w:jc w:val="center"/>
              <w:rPr>
                <w:rFonts w:asciiTheme="majorHAnsi" w:hAnsiTheme="majorHAnsi" w:cs="Times New Roman"/>
                <w:b/>
                <w:bCs/>
                <w:sz w:val="18"/>
                <w:szCs w:val="18"/>
              </w:rPr>
            </w:pPr>
            <w:r w:rsidRPr="001F5027">
              <w:rPr>
                <w:rFonts w:asciiTheme="majorHAnsi" w:hAnsiTheme="majorHAnsi" w:cs="Times New Roman"/>
                <w:b/>
                <w:bCs/>
                <w:sz w:val="18"/>
                <w:szCs w:val="18"/>
              </w:rPr>
              <w:t xml:space="preserve">Ejercicio </w:t>
            </w:r>
            <w:r w:rsidR="009A3538" w:rsidRPr="001F5027">
              <w:rPr>
                <w:rFonts w:asciiTheme="majorHAnsi" w:hAnsiTheme="majorHAnsi" w:cs="Times New Roman"/>
                <w:b/>
                <w:bCs/>
                <w:sz w:val="18"/>
                <w:szCs w:val="18"/>
              </w:rPr>
              <w:t>2020</w:t>
            </w:r>
          </w:p>
        </w:tc>
      </w:tr>
      <w:tr w:rsidR="001F2C56" w:rsidRPr="001F5027" w:rsidTr="007F7DF5">
        <w:trPr>
          <w:trHeight w:hRule="exact" w:val="340"/>
          <w:jc w:val="center"/>
        </w:trPr>
        <w:tc>
          <w:tcPr>
            <w:tcW w:w="2840" w:type="dxa"/>
            <w:shd w:val="clear" w:color="auto" w:fill="F2F2F2"/>
          </w:tcPr>
          <w:p w:rsidR="001F2C56" w:rsidRPr="001F5027" w:rsidRDefault="001F2C56" w:rsidP="000A288E">
            <w:pPr>
              <w:widowControl/>
              <w:autoSpaceDE/>
              <w:autoSpaceDN/>
              <w:adjustRightInd/>
              <w:jc w:val="center"/>
              <w:rPr>
                <w:rFonts w:asciiTheme="majorHAnsi" w:hAnsiTheme="majorHAnsi" w:cs="Times New Roman"/>
                <w:b/>
                <w:bCs/>
                <w:sz w:val="18"/>
                <w:szCs w:val="18"/>
              </w:rPr>
            </w:pPr>
          </w:p>
        </w:tc>
        <w:tc>
          <w:tcPr>
            <w:tcW w:w="2114" w:type="dxa"/>
            <w:shd w:val="clear" w:color="auto" w:fill="F2F2F2"/>
            <w:vAlign w:val="center"/>
          </w:tcPr>
          <w:p w:rsidR="001F2C56" w:rsidRPr="001F5027" w:rsidRDefault="001F2C56" w:rsidP="000A288E">
            <w:pPr>
              <w:widowControl/>
              <w:autoSpaceDE/>
              <w:autoSpaceDN/>
              <w:adjustRightInd/>
              <w:jc w:val="center"/>
              <w:rPr>
                <w:rFonts w:asciiTheme="majorHAnsi" w:hAnsiTheme="majorHAnsi" w:cs="Times New Roman"/>
                <w:b/>
                <w:bCs/>
                <w:sz w:val="18"/>
                <w:szCs w:val="18"/>
              </w:rPr>
            </w:pPr>
            <w:r w:rsidRPr="001F5027">
              <w:rPr>
                <w:rFonts w:asciiTheme="majorHAnsi" w:hAnsiTheme="majorHAnsi" w:cs="Times New Roman"/>
                <w:b/>
                <w:bCs/>
                <w:sz w:val="18"/>
                <w:szCs w:val="18"/>
              </w:rPr>
              <w:t>Corto Plazo</w:t>
            </w:r>
          </w:p>
        </w:tc>
        <w:tc>
          <w:tcPr>
            <w:tcW w:w="2040" w:type="dxa"/>
            <w:shd w:val="clear" w:color="auto" w:fill="F2F2F2"/>
            <w:vAlign w:val="center"/>
          </w:tcPr>
          <w:p w:rsidR="001F2C56" w:rsidRPr="001F5027" w:rsidRDefault="001F2C56" w:rsidP="000A288E">
            <w:pPr>
              <w:widowControl/>
              <w:autoSpaceDE/>
              <w:autoSpaceDN/>
              <w:adjustRightInd/>
              <w:jc w:val="center"/>
              <w:rPr>
                <w:rFonts w:asciiTheme="majorHAnsi" w:hAnsiTheme="majorHAnsi" w:cs="Times New Roman"/>
                <w:b/>
                <w:bCs/>
                <w:sz w:val="18"/>
                <w:szCs w:val="18"/>
              </w:rPr>
            </w:pPr>
            <w:r w:rsidRPr="001F5027">
              <w:rPr>
                <w:rFonts w:asciiTheme="majorHAnsi" w:hAnsiTheme="majorHAnsi" w:cs="Times New Roman"/>
                <w:b/>
                <w:bCs/>
                <w:sz w:val="18"/>
                <w:szCs w:val="18"/>
              </w:rPr>
              <w:t>Largo plazo</w:t>
            </w:r>
          </w:p>
        </w:tc>
      </w:tr>
      <w:tr w:rsidR="001F2C56" w:rsidRPr="001F5027" w:rsidTr="007F7DF5">
        <w:trPr>
          <w:trHeight w:hRule="exact" w:val="308"/>
          <w:jc w:val="center"/>
        </w:trPr>
        <w:tc>
          <w:tcPr>
            <w:tcW w:w="2840" w:type="dxa"/>
            <w:shd w:val="clear" w:color="auto" w:fill="FFFFFF"/>
            <w:vAlign w:val="center"/>
          </w:tcPr>
          <w:p w:rsidR="001F2C56" w:rsidRPr="001F5027" w:rsidRDefault="00DC4FBD" w:rsidP="009A3538">
            <w:pPr>
              <w:shd w:val="clear" w:color="auto" w:fill="FFFFFF"/>
              <w:ind w:left="745"/>
              <w:jc w:val="both"/>
              <w:rPr>
                <w:rFonts w:asciiTheme="majorHAnsi" w:hAnsiTheme="majorHAnsi" w:cs="Times New Roman"/>
                <w:sz w:val="18"/>
                <w:szCs w:val="18"/>
              </w:rPr>
            </w:pPr>
            <w:r w:rsidRPr="001F5027">
              <w:rPr>
                <w:rFonts w:asciiTheme="majorHAnsi" w:hAnsiTheme="majorHAnsi" w:cs="Times New Roman"/>
                <w:sz w:val="18"/>
                <w:szCs w:val="18"/>
              </w:rPr>
              <w:t xml:space="preserve">Ejercicio </w:t>
            </w:r>
            <w:r w:rsidR="009A3538" w:rsidRPr="001F5027">
              <w:rPr>
                <w:rFonts w:asciiTheme="majorHAnsi" w:hAnsiTheme="majorHAnsi" w:cs="Times New Roman"/>
                <w:sz w:val="18"/>
                <w:szCs w:val="18"/>
              </w:rPr>
              <w:t>2020</w:t>
            </w:r>
          </w:p>
        </w:tc>
        <w:tc>
          <w:tcPr>
            <w:tcW w:w="2114" w:type="dxa"/>
            <w:shd w:val="clear" w:color="auto" w:fill="FFFFFF"/>
            <w:vAlign w:val="center"/>
          </w:tcPr>
          <w:p w:rsidR="001F2C56" w:rsidRPr="001F5027" w:rsidRDefault="007A12F4" w:rsidP="00D14F81">
            <w:pPr>
              <w:shd w:val="clear" w:color="auto" w:fill="FFFFFF"/>
              <w:ind w:right="32"/>
              <w:jc w:val="center"/>
              <w:rPr>
                <w:rFonts w:asciiTheme="majorHAnsi" w:hAnsiTheme="majorHAnsi" w:cs="Times New Roman"/>
                <w:sz w:val="18"/>
                <w:szCs w:val="18"/>
              </w:rPr>
            </w:pPr>
            <w:r w:rsidRPr="001F5027">
              <w:rPr>
                <w:rFonts w:asciiTheme="majorHAnsi" w:hAnsiTheme="majorHAnsi" w:cs="Times New Roman"/>
                <w:sz w:val="18"/>
                <w:szCs w:val="18"/>
              </w:rPr>
              <w:t>176.524,1</w:t>
            </w:r>
            <w:r w:rsidR="00DA20CD" w:rsidRPr="001F5027">
              <w:rPr>
                <w:rFonts w:asciiTheme="majorHAnsi" w:hAnsiTheme="majorHAnsi" w:cs="Times New Roman"/>
                <w:sz w:val="18"/>
                <w:szCs w:val="18"/>
              </w:rPr>
              <w:t>5</w:t>
            </w:r>
          </w:p>
        </w:tc>
        <w:tc>
          <w:tcPr>
            <w:tcW w:w="2040" w:type="dxa"/>
            <w:shd w:val="clear" w:color="auto" w:fill="FFFFFF"/>
            <w:vAlign w:val="center"/>
          </w:tcPr>
          <w:p w:rsidR="001F2C56" w:rsidRPr="001F5027" w:rsidRDefault="001F2C56" w:rsidP="00D14F81">
            <w:pPr>
              <w:shd w:val="clear" w:color="auto" w:fill="FFFFFF"/>
              <w:ind w:right="32"/>
              <w:jc w:val="center"/>
              <w:rPr>
                <w:rFonts w:asciiTheme="majorHAnsi" w:hAnsiTheme="majorHAnsi" w:cs="Times New Roman"/>
                <w:sz w:val="18"/>
                <w:szCs w:val="18"/>
              </w:rPr>
            </w:pPr>
            <w:r w:rsidRPr="001F5027">
              <w:rPr>
                <w:rFonts w:asciiTheme="majorHAnsi" w:hAnsiTheme="majorHAnsi" w:cs="Times New Roman"/>
                <w:sz w:val="18"/>
                <w:szCs w:val="18"/>
              </w:rPr>
              <w:t>0,00</w:t>
            </w:r>
          </w:p>
        </w:tc>
      </w:tr>
      <w:tr w:rsidR="001F2C56" w:rsidRPr="001F5027" w:rsidTr="007F7DF5">
        <w:trPr>
          <w:trHeight w:hRule="exact" w:val="308"/>
          <w:jc w:val="center"/>
        </w:trPr>
        <w:tc>
          <w:tcPr>
            <w:tcW w:w="2840" w:type="dxa"/>
            <w:shd w:val="clear" w:color="auto" w:fill="FFFFFF"/>
            <w:vAlign w:val="center"/>
          </w:tcPr>
          <w:p w:rsidR="001F2C56" w:rsidRPr="001F5027" w:rsidRDefault="00DC4FBD" w:rsidP="009A3538">
            <w:pPr>
              <w:shd w:val="clear" w:color="auto" w:fill="FFFFFF"/>
              <w:ind w:left="745"/>
              <w:jc w:val="both"/>
              <w:rPr>
                <w:rFonts w:asciiTheme="majorHAnsi" w:hAnsiTheme="majorHAnsi" w:cs="Times New Roman"/>
                <w:sz w:val="18"/>
                <w:szCs w:val="18"/>
              </w:rPr>
            </w:pPr>
            <w:r w:rsidRPr="001F5027">
              <w:rPr>
                <w:rFonts w:asciiTheme="majorHAnsi" w:hAnsiTheme="majorHAnsi" w:cs="Times New Roman"/>
                <w:sz w:val="18"/>
                <w:szCs w:val="18"/>
              </w:rPr>
              <w:t xml:space="preserve">Ejercicio </w:t>
            </w:r>
            <w:r w:rsidR="009A3538" w:rsidRPr="001F5027">
              <w:rPr>
                <w:rFonts w:asciiTheme="majorHAnsi" w:hAnsiTheme="majorHAnsi" w:cs="Times New Roman"/>
                <w:sz w:val="18"/>
                <w:szCs w:val="18"/>
              </w:rPr>
              <w:t>2021</w:t>
            </w:r>
          </w:p>
        </w:tc>
        <w:tc>
          <w:tcPr>
            <w:tcW w:w="2114" w:type="dxa"/>
            <w:shd w:val="clear" w:color="auto" w:fill="FFFFFF"/>
            <w:vAlign w:val="center"/>
          </w:tcPr>
          <w:p w:rsidR="001F2C56" w:rsidRPr="001F5027" w:rsidRDefault="001F2C56" w:rsidP="00D14F81">
            <w:pPr>
              <w:shd w:val="clear" w:color="auto" w:fill="FFFFFF"/>
              <w:ind w:right="32"/>
              <w:jc w:val="center"/>
              <w:rPr>
                <w:rFonts w:asciiTheme="majorHAnsi" w:hAnsiTheme="majorHAnsi" w:cs="Times New Roman"/>
                <w:sz w:val="18"/>
                <w:szCs w:val="18"/>
              </w:rPr>
            </w:pPr>
          </w:p>
        </w:tc>
        <w:tc>
          <w:tcPr>
            <w:tcW w:w="2040" w:type="dxa"/>
            <w:shd w:val="clear" w:color="auto" w:fill="FFFFFF"/>
            <w:vAlign w:val="center"/>
          </w:tcPr>
          <w:p w:rsidR="001F2C56" w:rsidRPr="001F5027" w:rsidRDefault="007A12F4" w:rsidP="00D14F81">
            <w:pPr>
              <w:shd w:val="clear" w:color="auto" w:fill="FFFFFF"/>
              <w:ind w:right="32"/>
              <w:jc w:val="center"/>
              <w:rPr>
                <w:rFonts w:asciiTheme="majorHAnsi" w:hAnsiTheme="majorHAnsi" w:cs="Times New Roman"/>
                <w:sz w:val="18"/>
                <w:szCs w:val="18"/>
              </w:rPr>
            </w:pPr>
            <w:r w:rsidRPr="001F5027">
              <w:rPr>
                <w:rFonts w:asciiTheme="majorHAnsi" w:hAnsiTheme="majorHAnsi" w:cs="Times New Roman"/>
                <w:sz w:val="18"/>
                <w:szCs w:val="18"/>
              </w:rPr>
              <w:t>86.177,16</w:t>
            </w:r>
          </w:p>
        </w:tc>
      </w:tr>
      <w:tr w:rsidR="001F2C56" w:rsidRPr="001F5027" w:rsidTr="007F7DF5">
        <w:trPr>
          <w:trHeight w:hRule="exact" w:val="308"/>
          <w:jc w:val="center"/>
        </w:trPr>
        <w:tc>
          <w:tcPr>
            <w:tcW w:w="2840" w:type="dxa"/>
            <w:shd w:val="clear" w:color="auto" w:fill="FFFFFF"/>
            <w:vAlign w:val="center"/>
          </w:tcPr>
          <w:p w:rsidR="001F2C56" w:rsidRPr="001F5027" w:rsidRDefault="00DC4FBD" w:rsidP="009A3538">
            <w:pPr>
              <w:shd w:val="clear" w:color="auto" w:fill="FFFFFF"/>
              <w:ind w:left="745"/>
              <w:jc w:val="both"/>
              <w:rPr>
                <w:rFonts w:asciiTheme="majorHAnsi" w:hAnsiTheme="majorHAnsi" w:cs="Times New Roman"/>
                <w:sz w:val="18"/>
                <w:szCs w:val="18"/>
              </w:rPr>
            </w:pPr>
            <w:r w:rsidRPr="001F5027">
              <w:rPr>
                <w:rFonts w:asciiTheme="majorHAnsi" w:hAnsiTheme="majorHAnsi" w:cs="Times New Roman"/>
                <w:sz w:val="18"/>
                <w:szCs w:val="18"/>
              </w:rPr>
              <w:t xml:space="preserve">Ejercicio </w:t>
            </w:r>
            <w:r w:rsidR="009A3538" w:rsidRPr="001F5027">
              <w:rPr>
                <w:rFonts w:asciiTheme="majorHAnsi" w:hAnsiTheme="majorHAnsi" w:cs="Times New Roman"/>
                <w:sz w:val="18"/>
                <w:szCs w:val="18"/>
              </w:rPr>
              <w:t>2022</w:t>
            </w:r>
          </w:p>
        </w:tc>
        <w:tc>
          <w:tcPr>
            <w:tcW w:w="2114" w:type="dxa"/>
            <w:shd w:val="clear" w:color="auto" w:fill="FFFFFF"/>
            <w:vAlign w:val="center"/>
          </w:tcPr>
          <w:p w:rsidR="001F2C56" w:rsidRPr="001F5027" w:rsidRDefault="001F2C56" w:rsidP="00D14F81">
            <w:pPr>
              <w:shd w:val="clear" w:color="auto" w:fill="FFFFFF"/>
              <w:ind w:right="32"/>
              <w:jc w:val="center"/>
              <w:rPr>
                <w:rFonts w:asciiTheme="majorHAnsi" w:hAnsiTheme="majorHAnsi" w:cs="Times New Roman"/>
                <w:sz w:val="18"/>
                <w:szCs w:val="18"/>
              </w:rPr>
            </w:pPr>
          </w:p>
        </w:tc>
        <w:tc>
          <w:tcPr>
            <w:tcW w:w="2040" w:type="dxa"/>
            <w:shd w:val="clear" w:color="auto" w:fill="FFFFFF"/>
          </w:tcPr>
          <w:p w:rsidR="001F2C56" w:rsidRPr="001F5027" w:rsidRDefault="007A12F4" w:rsidP="00D14F81">
            <w:pPr>
              <w:jc w:val="center"/>
              <w:rPr>
                <w:rFonts w:asciiTheme="majorHAnsi" w:hAnsiTheme="majorHAnsi" w:cs="Times New Roman"/>
                <w:sz w:val="18"/>
                <w:szCs w:val="18"/>
              </w:rPr>
            </w:pPr>
            <w:r w:rsidRPr="001F5027">
              <w:rPr>
                <w:rFonts w:asciiTheme="majorHAnsi" w:hAnsiTheme="majorHAnsi" w:cs="Times New Roman"/>
                <w:sz w:val="18"/>
                <w:szCs w:val="18"/>
              </w:rPr>
              <w:t>86.177,16</w:t>
            </w:r>
          </w:p>
        </w:tc>
      </w:tr>
      <w:tr w:rsidR="001F2C56" w:rsidRPr="001F5027" w:rsidTr="007F7DF5">
        <w:trPr>
          <w:trHeight w:hRule="exact" w:val="308"/>
          <w:jc w:val="center"/>
        </w:trPr>
        <w:tc>
          <w:tcPr>
            <w:tcW w:w="2840" w:type="dxa"/>
            <w:shd w:val="clear" w:color="auto" w:fill="FFFFFF"/>
            <w:vAlign w:val="center"/>
          </w:tcPr>
          <w:p w:rsidR="001F2C56" w:rsidRPr="001F5027" w:rsidRDefault="00DC4FBD" w:rsidP="009A3538">
            <w:pPr>
              <w:shd w:val="clear" w:color="auto" w:fill="FFFFFF"/>
              <w:ind w:left="745"/>
              <w:jc w:val="both"/>
              <w:rPr>
                <w:rFonts w:asciiTheme="majorHAnsi" w:hAnsiTheme="majorHAnsi" w:cs="Times New Roman"/>
                <w:sz w:val="18"/>
                <w:szCs w:val="18"/>
              </w:rPr>
            </w:pPr>
            <w:r w:rsidRPr="001F5027">
              <w:rPr>
                <w:rFonts w:asciiTheme="majorHAnsi" w:hAnsiTheme="majorHAnsi" w:cs="Times New Roman"/>
                <w:sz w:val="18"/>
                <w:szCs w:val="18"/>
              </w:rPr>
              <w:t xml:space="preserve">Ejercicio </w:t>
            </w:r>
            <w:r w:rsidR="009A3538" w:rsidRPr="001F5027">
              <w:rPr>
                <w:rFonts w:asciiTheme="majorHAnsi" w:hAnsiTheme="majorHAnsi" w:cs="Times New Roman"/>
                <w:sz w:val="18"/>
                <w:szCs w:val="18"/>
              </w:rPr>
              <w:t>2023</w:t>
            </w:r>
          </w:p>
        </w:tc>
        <w:tc>
          <w:tcPr>
            <w:tcW w:w="2114" w:type="dxa"/>
            <w:shd w:val="clear" w:color="auto" w:fill="FFFFFF"/>
            <w:vAlign w:val="center"/>
          </w:tcPr>
          <w:p w:rsidR="001F2C56" w:rsidRPr="001F5027" w:rsidRDefault="001F2C56" w:rsidP="00D14F81">
            <w:pPr>
              <w:shd w:val="clear" w:color="auto" w:fill="FFFFFF"/>
              <w:ind w:right="32"/>
              <w:jc w:val="center"/>
              <w:rPr>
                <w:rFonts w:asciiTheme="majorHAnsi" w:hAnsiTheme="majorHAnsi" w:cs="Times New Roman"/>
                <w:sz w:val="18"/>
                <w:szCs w:val="18"/>
              </w:rPr>
            </w:pPr>
          </w:p>
        </w:tc>
        <w:tc>
          <w:tcPr>
            <w:tcW w:w="2040" w:type="dxa"/>
            <w:shd w:val="clear" w:color="auto" w:fill="FFFFFF"/>
          </w:tcPr>
          <w:p w:rsidR="001F2C56" w:rsidRPr="001F5027" w:rsidRDefault="007A12F4" w:rsidP="00D14F81">
            <w:pPr>
              <w:jc w:val="center"/>
              <w:rPr>
                <w:rFonts w:asciiTheme="majorHAnsi" w:hAnsiTheme="majorHAnsi" w:cs="Times New Roman"/>
                <w:sz w:val="18"/>
                <w:szCs w:val="18"/>
              </w:rPr>
            </w:pPr>
            <w:r w:rsidRPr="001F5027">
              <w:rPr>
                <w:rFonts w:asciiTheme="majorHAnsi" w:hAnsiTheme="majorHAnsi" w:cs="Times New Roman"/>
                <w:sz w:val="18"/>
                <w:szCs w:val="18"/>
              </w:rPr>
              <w:t>86.177,16</w:t>
            </w:r>
          </w:p>
        </w:tc>
      </w:tr>
      <w:tr w:rsidR="001F2C56" w:rsidRPr="001F5027" w:rsidTr="007F7DF5">
        <w:trPr>
          <w:trHeight w:hRule="exact" w:val="308"/>
          <w:jc w:val="center"/>
        </w:trPr>
        <w:tc>
          <w:tcPr>
            <w:tcW w:w="2840" w:type="dxa"/>
            <w:shd w:val="clear" w:color="auto" w:fill="FFFFFF"/>
            <w:vAlign w:val="center"/>
          </w:tcPr>
          <w:p w:rsidR="007A12F4" w:rsidRPr="001F5027" w:rsidRDefault="007A12F4" w:rsidP="007A12F4">
            <w:pPr>
              <w:shd w:val="clear" w:color="auto" w:fill="FFFFFF"/>
              <w:ind w:left="745"/>
              <w:jc w:val="both"/>
              <w:rPr>
                <w:rFonts w:asciiTheme="majorHAnsi" w:hAnsiTheme="majorHAnsi" w:cs="Times New Roman"/>
                <w:sz w:val="18"/>
                <w:szCs w:val="18"/>
              </w:rPr>
            </w:pPr>
            <w:r w:rsidRPr="001F5027">
              <w:rPr>
                <w:rFonts w:asciiTheme="majorHAnsi" w:hAnsiTheme="majorHAnsi" w:cs="Times New Roman"/>
                <w:sz w:val="18"/>
                <w:szCs w:val="18"/>
              </w:rPr>
              <w:t>Ejercicio 2023</w:t>
            </w:r>
          </w:p>
          <w:p w:rsidR="007A12F4" w:rsidRPr="001F5027" w:rsidRDefault="007A12F4" w:rsidP="007A12F4">
            <w:pPr>
              <w:shd w:val="clear" w:color="auto" w:fill="FFFFFF"/>
              <w:ind w:left="745"/>
              <w:jc w:val="both"/>
              <w:rPr>
                <w:rFonts w:asciiTheme="majorHAnsi" w:hAnsiTheme="majorHAnsi" w:cs="Times New Roman"/>
                <w:sz w:val="18"/>
                <w:szCs w:val="18"/>
              </w:rPr>
            </w:pPr>
          </w:p>
          <w:p w:rsidR="001F2C56" w:rsidRPr="001F5027" w:rsidRDefault="001F2C56" w:rsidP="000A288E">
            <w:pPr>
              <w:shd w:val="clear" w:color="auto" w:fill="FFFFFF"/>
              <w:ind w:left="745"/>
              <w:jc w:val="both"/>
              <w:rPr>
                <w:rFonts w:asciiTheme="majorHAnsi" w:hAnsiTheme="majorHAnsi" w:cs="Times New Roman"/>
                <w:sz w:val="18"/>
                <w:szCs w:val="18"/>
              </w:rPr>
            </w:pPr>
          </w:p>
        </w:tc>
        <w:tc>
          <w:tcPr>
            <w:tcW w:w="2114" w:type="dxa"/>
            <w:shd w:val="clear" w:color="auto" w:fill="FFFFFF"/>
            <w:vAlign w:val="center"/>
          </w:tcPr>
          <w:p w:rsidR="001F2C56" w:rsidRPr="001F5027" w:rsidRDefault="001F2C56" w:rsidP="00D14F81">
            <w:pPr>
              <w:shd w:val="clear" w:color="auto" w:fill="FFFFFF"/>
              <w:ind w:right="32"/>
              <w:jc w:val="center"/>
              <w:rPr>
                <w:rFonts w:asciiTheme="majorHAnsi" w:hAnsiTheme="majorHAnsi" w:cs="Times New Roman"/>
                <w:sz w:val="18"/>
                <w:szCs w:val="18"/>
              </w:rPr>
            </w:pPr>
          </w:p>
        </w:tc>
        <w:tc>
          <w:tcPr>
            <w:tcW w:w="2040" w:type="dxa"/>
            <w:shd w:val="clear" w:color="auto" w:fill="FFFFFF"/>
          </w:tcPr>
          <w:p w:rsidR="001F2C56" w:rsidRPr="001F5027" w:rsidRDefault="001F2C56" w:rsidP="007A12F4">
            <w:pPr>
              <w:jc w:val="center"/>
              <w:rPr>
                <w:rFonts w:asciiTheme="majorHAnsi" w:hAnsiTheme="majorHAnsi" w:cs="Times New Roman"/>
                <w:sz w:val="18"/>
                <w:szCs w:val="18"/>
              </w:rPr>
            </w:pPr>
            <w:r w:rsidRPr="001F5027">
              <w:rPr>
                <w:rFonts w:asciiTheme="majorHAnsi" w:hAnsiTheme="majorHAnsi" w:cs="Times New Roman"/>
                <w:sz w:val="18"/>
                <w:szCs w:val="18"/>
              </w:rPr>
              <w:t>1</w:t>
            </w:r>
            <w:r w:rsidR="007A12F4" w:rsidRPr="001F5027">
              <w:rPr>
                <w:rFonts w:asciiTheme="majorHAnsi" w:hAnsiTheme="majorHAnsi" w:cs="Times New Roman"/>
                <w:sz w:val="18"/>
                <w:szCs w:val="18"/>
              </w:rPr>
              <w:t>7</w:t>
            </w:r>
            <w:r w:rsidR="00DC4FBD" w:rsidRPr="001F5027">
              <w:rPr>
                <w:rFonts w:asciiTheme="majorHAnsi" w:hAnsiTheme="majorHAnsi" w:cs="Times New Roman"/>
                <w:sz w:val="18"/>
                <w:szCs w:val="18"/>
              </w:rPr>
              <w:t>.</w:t>
            </w:r>
            <w:r w:rsidR="007A12F4" w:rsidRPr="001F5027">
              <w:rPr>
                <w:rFonts w:asciiTheme="majorHAnsi" w:hAnsiTheme="majorHAnsi" w:cs="Times New Roman"/>
                <w:sz w:val="18"/>
                <w:szCs w:val="18"/>
              </w:rPr>
              <w:t>374</w:t>
            </w:r>
            <w:r w:rsidR="00DC4FBD" w:rsidRPr="001F5027">
              <w:rPr>
                <w:rFonts w:asciiTheme="majorHAnsi" w:hAnsiTheme="majorHAnsi" w:cs="Times New Roman"/>
                <w:sz w:val="18"/>
                <w:szCs w:val="18"/>
              </w:rPr>
              <w:t>,</w:t>
            </w:r>
            <w:r w:rsidR="007A12F4" w:rsidRPr="001F5027">
              <w:rPr>
                <w:rFonts w:asciiTheme="majorHAnsi" w:hAnsiTheme="majorHAnsi" w:cs="Times New Roman"/>
                <w:sz w:val="18"/>
                <w:szCs w:val="18"/>
              </w:rPr>
              <w:t>3</w:t>
            </w:r>
            <w:r w:rsidR="00DA20CD" w:rsidRPr="001F5027">
              <w:rPr>
                <w:rFonts w:asciiTheme="majorHAnsi" w:hAnsiTheme="majorHAnsi" w:cs="Times New Roman"/>
                <w:sz w:val="18"/>
                <w:szCs w:val="18"/>
              </w:rPr>
              <w:t>4</w:t>
            </w:r>
          </w:p>
        </w:tc>
      </w:tr>
      <w:tr w:rsidR="001F2C56" w:rsidRPr="007F7DF5" w:rsidTr="007F7DF5">
        <w:trPr>
          <w:trHeight w:hRule="exact" w:val="338"/>
          <w:jc w:val="center"/>
        </w:trPr>
        <w:tc>
          <w:tcPr>
            <w:tcW w:w="2840" w:type="dxa"/>
            <w:shd w:val="clear" w:color="auto" w:fill="FFFFFF"/>
            <w:vAlign w:val="center"/>
          </w:tcPr>
          <w:p w:rsidR="001F2C56" w:rsidRPr="001F5027" w:rsidRDefault="001F2C56" w:rsidP="000A288E">
            <w:pPr>
              <w:shd w:val="clear" w:color="auto" w:fill="FFFFFF"/>
              <w:ind w:left="742"/>
              <w:jc w:val="both"/>
              <w:rPr>
                <w:rFonts w:asciiTheme="majorHAnsi" w:hAnsiTheme="majorHAnsi" w:cs="Times New Roman"/>
                <w:b/>
                <w:sz w:val="18"/>
                <w:szCs w:val="18"/>
              </w:rPr>
            </w:pPr>
            <w:r w:rsidRPr="001F5027">
              <w:rPr>
                <w:rFonts w:asciiTheme="majorHAnsi" w:hAnsiTheme="majorHAnsi" w:cs="Times New Roman"/>
                <w:b/>
                <w:sz w:val="18"/>
                <w:szCs w:val="18"/>
              </w:rPr>
              <w:t>TOTALES</w:t>
            </w:r>
          </w:p>
        </w:tc>
        <w:tc>
          <w:tcPr>
            <w:tcW w:w="2114" w:type="dxa"/>
            <w:shd w:val="clear" w:color="auto" w:fill="FFFFFF"/>
            <w:vAlign w:val="center"/>
          </w:tcPr>
          <w:p w:rsidR="001F2C56" w:rsidRPr="001F5027" w:rsidRDefault="008C5A69" w:rsidP="00D14F81">
            <w:pPr>
              <w:shd w:val="clear" w:color="auto" w:fill="FFFFFF"/>
              <w:ind w:right="25"/>
              <w:jc w:val="center"/>
              <w:rPr>
                <w:rFonts w:asciiTheme="majorHAnsi" w:hAnsiTheme="majorHAnsi" w:cs="Times New Roman"/>
                <w:b/>
                <w:sz w:val="18"/>
                <w:szCs w:val="18"/>
              </w:rPr>
            </w:pPr>
            <w:r w:rsidRPr="001F5027">
              <w:rPr>
                <w:rFonts w:asciiTheme="majorHAnsi" w:hAnsiTheme="majorHAnsi" w:cs="Times New Roman"/>
                <w:b/>
                <w:sz w:val="18"/>
                <w:szCs w:val="18"/>
              </w:rPr>
              <w:fldChar w:fldCharType="begin"/>
            </w:r>
            <w:r w:rsidR="001F2C56" w:rsidRPr="001F5027">
              <w:rPr>
                <w:rFonts w:asciiTheme="majorHAnsi" w:hAnsiTheme="majorHAnsi" w:cs="Times New Roman"/>
                <w:b/>
                <w:sz w:val="18"/>
                <w:szCs w:val="18"/>
              </w:rPr>
              <w:instrText xml:space="preserve"> =SUM(ABOVE) \# "#.##0,00" </w:instrText>
            </w:r>
            <w:r w:rsidRPr="001F5027">
              <w:rPr>
                <w:rFonts w:asciiTheme="majorHAnsi" w:hAnsiTheme="majorHAnsi" w:cs="Times New Roman"/>
                <w:b/>
                <w:sz w:val="18"/>
                <w:szCs w:val="18"/>
              </w:rPr>
              <w:fldChar w:fldCharType="separate"/>
            </w:r>
            <w:r w:rsidR="000B3A42">
              <w:rPr>
                <w:rFonts w:asciiTheme="majorHAnsi" w:hAnsiTheme="majorHAnsi" w:cs="Times New Roman"/>
                <w:b/>
                <w:noProof/>
                <w:sz w:val="18"/>
                <w:szCs w:val="18"/>
              </w:rPr>
              <w:t>176.524,15</w:t>
            </w:r>
            <w:r w:rsidRPr="001F5027">
              <w:rPr>
                <w:rFonts w:asciiTheme="majorHAnsi" w:hAnsiTheme="majorHAnsi" w:cs="Times New Roman"/>
                <w:b/>
                <w:sz w:val="18"/>
                <w:szCs w:val="18"/>
              </w:rPr>
              <w:fldChar w:fldCharType="end"/>
            </w:r>
          </w:p>
        </w:tc>
        <w:tc>
          <w:tcPr>
            <w:tcW w:w="2040" w:type="dxa"/>
            <w:shd w:val="clear" w:color="auto" w:fill="FFFFFF"/>
            <w:vAlign w:val="center"/>
          </w:tcPr>
          <w:p w:rsidR="001F2C56" w:rsidRPr="007F7DF5" w:rsidRDefault="008C5A69" w:rsidP="00D14F81">
            <w:pPr>
              <w:shd w:val="clear" w:color="auto" w:fill="FFFFFF"/>
              <w:ind w:right="25"/>
              <w:jc w:val="center"/>
              <w:rPr>
                <w:rFonts w:asciiTheme="majorHAnsi" w:hAnsiTheme="majorHAnsi" w:cs="Times New Roman"/>
                <w:b/>
                <w:sz w:val="18"/>
                <w:szCs w:val="18"/>
              </w:rPr>
            </w:pPr>
            <w:r w:rsidRPr="001F5027">
              <w:rPr>
                <w:rFonts w:asciiTheme="majorHAnsi" w:hAnsiTheme="majorHAnsi" w:cs="Times New Roman"/>
                <w:b/>
                <w:sz w:val="18"/>
                <w:szCs w:val="18"/>
              </w:rPr>
              <w:fldChar w:fldCharType="begin"/>
            </w:r>
            <w:r w:rsidR="001F2C56" w:rsidRPr="001F5027">
              <w:rPr>
                <w:rFonts w:asciiTheme="majorHAnsi" w:hAnsiTheme="majorHAnsi" w:cs="Times New Roman"/>
                <w:b/>
                <w:sz w:val="18"/>
                <w:szCs w:val="18"/>
              </w:rPr>
              <w:instrText xml:space="preserve"> =SUM(ABOVE) \# "#.##0,00" </w:instrText>
            </w:r>
            <w:r w:rsidRPr="001F5027">
              <w:rPr>
                <w:rFonts w:asciiTheme="majorHAnsi" w:hAnsiTheme="majorHAnsi" w:cs="Times New Roman"/>
                <w:b/>
                <w:sz w:val="18"/>
                <w:szCs w:val="18"/>
              </w:rPr>
              <w:fldChar w:fldCharType="separate"/>
            </w:r>
            <w:r w:rsidR="000B3A42">
              <w:rPr>
                <w:rFonts w:asciiTheme="majorHAnsi" w:hAnsiTheme="majorHAnsi" w:cs="Times New Roman"/>
                <w:b/>
                <w:noProof/>
                <w:sz w:val="18"/>
                <w:szCs w:val="18"/>
              </w:rPr>
              <w:t>275.905,82</w:t>
            </w:r>
            <w:r w:rsidRPr="001F5027">
              <w:rPr>
                <w:rFonts w:asciiTheme="majorHAnsi" w:hAnsiTheme="majorHAnsi" w:cs="Times New Roman"/>
                <w:b/>
                <w:sz w:val="18"/>
                <w:szCs w:val="18"/>
              </w:rPr>
              <w:fldChar w:fldCharType="end"/>
            </w:r>
          </w:p>
        </w:tc>
      </w:tr>
    </w:tbl>
    <w:p w:rsidR="00D14F81" w:rsidRPr="00321047" w:rsidRDefault="00D14F81" w:rsidP="00DC4FBD">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rsidR="00A43184" w:rsidRDefault="00A43184" w:rsidP="00DC2644">
      <w:pPr>
        <w:shd w:val="clear" w:color="auto" w:fill="FFFFFF"/>
        <w:ind w:firstLine="709"/>
        <w:jc w:val="both"/>
        <w:rPr>
          <w:rFonts w:ascii="Times New Roman" w:hAnsi="Times New Roman" w:cs="Times New Roman"/>
          <w:b/>
          <w:bCs/>
          <w:sz w:val="22"/>
          <w:szCs w:val="22"/>
          <w:lang w:val="es-ES_tradnl" w:eastAsia="es-ES_tradnl"/>
        </w:rPr>
      </w:pPr>
    </w:p>
    <w:p w:rsidR="00DC2644" w:rsidRPr="00C22550" w:rsidRDefault="00714748" w:rsidP="00DC2644">
      <w:pPr>
        <w:shd w:val="clear" w:color="auto" w:fill="FFFFFF"/>
        <w:ind w:firstLine="709"/>
        <w:jc w:val="both"/>
        <w:rPr>
          <w:rFonts w:ascii="Times New Roman" w:hAnsi="Times New Roman" w:cs="Times New Roman"/>
          <w:b/>
          <w:bCs/>
          <w:sz w:val="22"/>
          <w:szCs w:val="22"/>
          <w:lang w:val="es-ES_tradnl" w:eastAsia="es-ES_tradnl"/>
        </w:rPr>
      </w:pPr>
      <w:r>
        <w:rPr>
          <w:rFonts w:ascii="Times New Roman" w:hAnsi="Times New Roman" w:cs="Times New Roman"/>
          <w:b/>
          <w:bCs/>
          <w:sz w:val="22"/>
          <w:szCs w:val="22"/>
          <w:lang w:val="es-ES_tradnl" w:eastAsia="es-ES_tradnl"/>
        </w:rPr>
        <w:t>8</w:t>
      </w:r>
      <w:r w:rsidR="00DC2644" w:rsidRPr="00C22550">
        <w:rPr>
          <w:rFonts w:ascii="Times New Roman" w:hAnsi="Times New Roman" w:cs="Times New Roman"/>
          <w:b/>
          <w:bCs/>
          <w:sz w:val="22"/>
          <w:szCs w:val="22"/>
          <w:lang w:val="es-ES_tradnl" w:eastAsia="es-ES_tradnl"/>
        </w:rPr>
        <w:t xml:space="preserve">. </w:t>
      </w:r>
      <w:r w:rsidR="00DC2644" w:rsidRPr="00C22550">
        <w:rPr>
          <w:rFonts w:ascii="Times New Roman" w:hAnsi="Times New Roman" w:cs="Times New Roman"/>
          <w:b/>
          <w:bCs/>
          <w:sz w:val="22"/>
          <w:szCs w:val="22"/>
          <w:u w:val="double"/>
          <w:lang w:val="es-ES_tradnl" w:eastAsia="es-ES_tradnl"/>
        </w:rPr>
        <w:t>FONDOS PROPIOS</w:t>
      </w:r>
      <w:r w:rsidR="00DC2644" w:rsidRPr="00C22550">
        <w:rPr>
          <w:rFonts w:ascii="Times New Roman" w:hAnsi="Times New Roman" w:cs="Times New Roman"/>
          <w:b/>
          <w:bCs/>
          <w:sz w:val="22"/>
          <w:szCs w:val="22"/>
          <w:lang w:val="es-ES_tradnl" w:eastAsia="es-ES_tradnl"/>
        </w:rPr>
        <w:t xml:space="preserve"> </w:t>
      </w:r>
    </w:p>
    <w:p w:rsidR="006D11F1" w:rsidRPr="00C22550" w:rsidRDefault="006D11F1"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p>
    <w:p w:rsidR="00C22550" w:rsidRPr="00C22550"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22550">
        <w:rPr>
          <w:rFonts w:ascii="Times New Roman" w:hAnsi="Times New Roman" w:cs="Times New Roman"/>
          <w:spacing w:val="-3"/>
          <w:sz w:val="22"/>
          <w:szCs w:val="22"/>
          <w:lang w:val="es-ES_tradnl" w:eastAsia="es-ES_tradnl"/>
        </w:rPr>
        <w:t xml:space="preserve">Con fecha 31 de julio de 2020, el Pleno del Ayuntamiento de Las Palmas de Gran </w:t>
      </w:r>
      <w:proofErr w:type="gramStart"/>
      <w:r w:rsidRPr="00C22550">
        <w:rPr>
          <w:rFonts w:ascii="Times New Roman" w:hAnsi="Times New Roman" w:cs="Times New Roman"/>
          <w:spacing w:val="-3"/>
          <w:sz w:val="22"/>
          <w:szCs w:val="22"/>
          <w:lang w:val="es-ES_tradnl" w:eastAsia="es-ES_tradnl"/>
        </w:rPr>
        <w:t>Canaria ,socio</w:t>
      </w:r>
      <w:proofErr w:type="gramEnd"/>
      <w:r w:rsidRPr="00C22550">
        <w:rPr>
          <w:rFonts w:ascii="Times New Roman" w:hAnsi="Times New Roman" w:cs="Times New Roman"/>
          <w:spacing w:val="-3"/>
          <w:sz w:val="22"/>
          <w:szCs w:val="22"/>
          <w:lang w:val="es-ES_tradnl" w:eastAsia="es-ES_tradnl"/>
        </w:rPr>
        <w:t xml:space="preserve"> único de esta Sociedad, en funciones de Junta General de “PROMOCIÓN DE LA CIUDAD DE LAS PALMAS DE GRAN CANARIA, S.A., aprobó la ampliación de capital por aportación dineraria por importe de DOS MILLONES DE EUROS (2.000.000,00 €), mediante la emisión de 3.326 acciones nominativas de nueva creación, todas ellas con igual valor nominal de 601,32291 euros euro cada una.</w:t>
      </w:r>
    </w:p>
    <w:p w:rsidR="00C22550" w:rsidRPr="00C22550"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rsidR="00C22550" w:rsidRPr="00C22550"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22550">
        <w:rPr>
          <w:rFonts w:ascii="Times New Roman" w:hAnsi="Times New Roman" w:cs="Times New Roman"/>
          <w:spacing w:val="-3"/>
          <w:sz w:val="22"/>
          <w:szCs w:val="22"/>
          <w:lang w:val="es-ES_tradnl" w:eastAsia="es-ES_tradnl"/>
        </w:rPr>
        <w:t>A tenor de lo cual el Capital Social de la entidad asciende a  DOS MILLONES SESENTA MIL CIENTO DOS EUROS (2.060.102), totalmente suscrito y desembolsado por el Excelentísimo Ayuntamiento de Las Palmas de Gran Canaria. El Capital social es de la exclusiva propiedad de la Corporación Municipal y está sujeto a lo establecido en el párrafo 2º del artículo 89 del Reglamento de Servicios de las Corporaciones Locales. El capital social está dividido en tres mil cuatrocientas veinte y seis acciones nominativas por valor de 601,02 euros las numeradas del 1 al 100, de la serie A y un valor de 601,32291, las numeradas del 101 al 3.426, ambos inclusive, de la serie B.</w:t>
      </w:r>
    </w:p>
    <w:p w:rsidR="00042482" w:rsidRPr="00321047" w:rsidRDefault="00042482" w:rsidP="006C0067">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rsidR="009B4B09" w:rsidRPr="00C22550" w:rsidRDefault="00714748" w:rsidP="009B4B09">
      <w:pPr>
        <w:shd w:val="clear" w:color="auto" w:fill="FFFFFF"/>
        <w:ind w:firstLine="709"/>
        <w:jc w:val="both"/>
        <w:rPr>
          <w:rFonts w:ascii="Times New Roman" w:hAnsi="Times New Roman" w:cs="Times New Roman"/>
          <w:b/>
          <w:bCs/>
          <w:sz w:val="22"/>
          <w:szCs w:val="22"/>
          <w:lang w:val="es-ES_tradnl" w:eastAsia="es-ES_tradnl"/>
        </w:rPr>
      </w:pPr>
      <w:r>
        <w:rPr>
          <w:rFonts w:ascii="Times New Roman" w:hAnsi="Times New Roman" w:cs="Times New Roman"/>
          <w:b/>
          <w:bCs/>
          <w:sz w:val="22"/>
          <w:szCs w:val="22"/>
          <w:lang w:val="es-ES_tradnl" w:eastAsia="es-ES_tradnl"/>
        </w:rPr>
        <w:t>9</w:t>
      </w:r>
      <w:r w:rsidR="009B4B09" w:rsidRPr="00C22550">
        <w:rPr>
          <w:rFonts w:ascii="Times New Roman" w:hAnsi="Times New Roman" w:cs="Times New Roman"/>
          <w:b/>
          <w:bCs/>
          <w:sz w:val="22"/>
          <w:szCs w:val="22"/>
          <w:lang w:val="es-ES_tradnl" w:eastAsia="es-ES_tradnl"/>
        </w:rPr>
        <w:t xml:space="preserve">. </w:t>
      </w:r>
      <w:r w:rsidR="009B4B09" w:rsidRPr="00C22550">
        <w:rPr>
          <w:rFonts w:ascii="Times New Roman" w:hAnsi="Times New Roman" w:cs="Times New Roman"/>
          <w:b/>
          <w:bCs/>
          <w:sz w:val="22"/>
          <w:szCs w:val="22"/>
          <w:u w:val="double"/>
          <w:lang w:val="es-ES_tradnl" w:eastAsia="es-ES_tradnl"/>
        </w:rPr>
        <w:t>SITUACIÓN FISCAL</w:t>
      </w:r>
      <w:r w:rsidR="009B4B09" w:rsidRPr="00C22550">
        <w:rPr>
          <w:rFonts w:ascii="Times New Roman" w:hAnsi="Times New Roman" w:cs="Times New Roman"/>
          <w:b/>
          <w:bCs/>
          <w:sz w:val="22"/>
          <w:szCs w:val="22"/>
          <w:lang w:val="es-ES_tradnl" w:eastAsia="es-ES_tradnl"/>
        </w:rPr>
        <w:t xml:space="preserve">  </w:t>
      </w:r>
    </w:p>
    <w:p w:rsidR="009B4B09" w:rsidRDefault="009B4B09" w:rsidP="009B4B09">
      <w:pPr>
        <w:shd w:val="clear" w:color="auto" w:fill="FFFFFF"/>
        <w:ind w:firstLine="709"/>
        <w:jc w:val="both"/>
        <w:rPr>
          <w:rFonts w:ascii="Times New Roman" w:hAnsi="Times New Roman" w:cs="Times New Roman"/>
          <w:b/>
          <w:color w:val="0000FF"/>
          <w:sz w:val="22"/>
          <w:szCs w:val="22"/>
        </w:rPr>
      </w:pPr>
    </w:p>
    <w:p w:rsidR="0085082D" w:rsidRPr="005C4F30" w:rsidRDefault="0085082D" w:rsidP="009B4B09">
      <w:pPr>
        <w:shd w:val="clear" w:color="auto" w:fill="FFFFFF"/>
        <w:ind w:firstLine="709"/>
        <w:jc w:val="both"/>
        <w:rPr>
          <w:rFonts w:ascii="Times New Roman" w:hAnsi="Times New Roman" w:cs="Times New Roman"/>
          <w:b/>
          <w:sz w:val="22"/>
          <w:szCs w:val="22"/>
          <w:u w:val="single"/>
        </w:rPr>
      </w:pPr>
      <w:r w:rsidRPr="005C4F30">
        <w:rPr>
          <w:rFonts w:ascii="Times New Roman" w:hAnsi="Times New Roman" w:cs="Times New Roman"/>
          <w:b/>
          <w:sz w:val="22"/>
          <w:szCs w:val="22"/>
          <w:u w:val="single"/>
        </w:rPr>
        <w:t>Saldos con Administraciones Públicas</w:t>
      </w:r>
    </w:p>
    <w:p w:rsidR="0085082D" w:rsidRDefault="0085082D" w:rsidP="009B4B09">
      <w:pPr>
        <w:shd w:val="clear" w:color="auto" w:fill="FFFFFF"/>
        <w:ind w:firstLine="709"/>
        <w:jc w:val="both"/>
        <w:rPr>
          <w:rFonts w:ascii="Times New Roman" w:hAnsi="Times New Roman" w:cs="Times New Roman"/>
          <w:b/>
          <w:color w:val="0000FF"/>
          <w:sz w:val="22"/>
          <w:szCs w:val="22"/>
        </w:rPr>
      </w:pPr>
    </w:p>
    <w:p w:rsidR="005C4F30" w:rsidRDefault="005C4F30"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r w:rsidRPr="005C4F30">
        <w:rPr>
          <w:rFonts w:ascii="Times New Roman" w:hAnsi="Times New Roman" w:cs="Times New Roman"/>
          <w:spacing w:val="-3"/>
          <w:sz w:val="22"/>
          <w:szCs w:val="22"/>
          <w:lang w:val="es-ES_tradnl" w:eastAsia="es-ES_tradnl"/>
        </w:rPr>
        <w:t>La Sociedad mantenía al cierre del ejercicio los siguientes saldos con las Administraciones Públicas:</w:t>
      </w:r>
    </w:p>
    <w:p w:rsidR="000B5AF8" w:rsidRDefault="000B5AF8"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8796" w:type="dxa"/>
        <w:jc w:val="center"/>
        <w:tblInd w:w="70" w:type="dxa"/>
        <w:tblCellMar>
          <w:left w:w="70" w:type="dxa"/>
          <w:right w:w="70" w:type="dxa"/>
        </w:tblCellMar>
        <w:tblLook w:val="04A0"/>
      </w:tblPr>
      <w:tblGrid>
        <w:gridCol w:w="3956"/>
        <w:gridCol w:w="1225"/>
        <w:gridCol w:w="1195"/>
        <w:gridCol w:w="1225"/>
        <w:gridCol w:w="1195"/>
      </w:tblGrid>
      <w:tr w:rsidR="00013142" w:rsidRPr="00013142" w:rsidTr="00205A13">
        <w:trPr>
          <w:trHeight w:val="750"/>
          <w:jc w:val="center"/>
        </w:trPr>
        <w:tc>
          <w:tcPr>
            <w:tcW w:w="3956" w:type="dxa"/>
            <w:tcBorders>
              <w:top w:val="single" w:sz="8" w:space="0" w:color="auto"/>
              <w:left w:val="nil"/>
              <w:bottom w:val="single" w:sz="8" w:space="0" w:color="auto"/>
              <w:right w:val="nil"/>
            </w:tcBorders>
            <w:shd w:val="clear" w:color="000000" w:fill="F2F2F2"/>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 </w:t>
            </w:r>
          </w:p>
        </w:tc>
        <w:tc>
          <w:tcPr>
            <w:tcW w:w="1225" w:type="dxa"/>
            <w:tcBorders>
              <w:top w:val="single" w:sz="8" w:space="0" w:color="auto"/>
              <w:left w:val="nil"/>
              <w:bottom w:val="single" w:sz="8" w:space="0" w:color="auto"/>
              <w:right w:val="nil"/>
            </w:tcBorders>
            <w:shd w:val="clear" w:color="000000" w:fill="F2F2F2"/>
            <w:vAlign w:val="bottom"/>
            <w:hideMark/>
          </w:tcPr>
          <w:p w:rsidR="00013142" w:rsidRPr="00013142" w:rsidRDefault="00013142" w:rsidP="00013142">
            <w:pPr>
              <w:widowControl/>
              <w:autoSpaceDE/>
              <w:autoSpaceDN/>
              <w:adjustRightInd/>
              <w:jc w:val="center"/>
              <w:rPr>
                <w:rFonts w:ascii="Cambria" w:hAnsi="Cambria" w:cs="Calibri"/>
                <w:b/>
                <w:bCs/>
                <w:color w:val="000000"/>
                <w:sz w:val="18"/>
                <w:szCs w:val="18"/>
              </w:rPr>
            </w:pPr>
            <w:r w:rsidRPr="00013142">
              <w:rPr>
                <w:rFonts w:ascii="Cambria" w:hAnsi="Cambria" w:cs="Calibri"/>
                <w:b/>
                <w:bCs/>
                <w:color w:val="000000"/>
                <w:sz w:val="18"/>
                <w:szCs w:val="18"/>
              </w:rPr>
              <w:t>CORRIENTE 2020</w:t>
            </w:r>
          </w:p>
        </w:tc>
        <w:tc>
          <w:tcPr>
            <w:tcW w:w="1195" w:type="dxa"/>
            <w:tcBorders>
              <w:top w:val="single" w:sz="8" w:space="0" w:color="auto"/>
              <w:left w:val="nil"/>
              <w:bottom w:val="single" w:sz="8" w:space="0" w:color="auto"/>
              <w:right w:val="nil"/>
            </w:tcBorders>
            <w:shd w:val="clear" w:color="000000" w:fill="F2F2F2"/>
            <w:vAlign w:val="bottom"/>
            <w:hideMark/>
          </w:tcPr>
          <w:p w:rsidR="00013142" w:rsidRPr="00013142" w:rsidRDefault="00013142" w:rsidP="00013142">
            <w:pPr>
              <w:widowControl/>
              <w:autoSpaceDE/>
              <w:autoSpaceDN/>
              <w:adjustRightInd/>
              <w:jc w:val="center"/>
              <w:rPr>
                <w:rFonts w:ascii="Cambria" w:hAnsi="Cambria" w:cs="Calibri"/>
                <w:b/>
                <w:bCs/>
                <w:color w:val="000000"/>
                <w:sz w:val="18"/>
                <w:szCs w:val="18"/>
              </w:rPr>
            </w:pPr>
            <w:r w:rsidRPr="00013142">
              <w:rPr>
                <w:rFonts w:ascii="Cambria" w:hAnsi="Cambria" w:cs="Calibri"/>
                <w:b/>
                <w:bCs/>
                <w:color w:val="000000"/>
                <w:sz w:val="18"/>
                <w:szCs w:val="18"/>
              </w:rPr>
              <w:t>NO CORRIENTE 2020</w:t>
            </w:r>
          </w:p>
        </w:tc>
        <w:tc>
          <w:tcPr>
            <w:tcW w:w="1225" w:type="dxa"/>
            <w:tcBorders>
              <w:top w:val="single" w:sz="8" w:space="0" w:color="auto"/>
              <w:left w:val="nil"/>
              <w:bottom w:val="single" w:sz="8" w:space="0" w:color="auto"/>
              <w:right w:val="nil"/>
            </w:tcBorders>
            <w:shd w:val="clear" w:color="000000" w:fill="F2F2F2"/>
            <w:vAlign w:val="bottom"/>
            <w:hideMark/>
          </w:tcPr>
          <w:p w:rsidR="00013142" w:rsidRPr="00013142" w:rsidRDefault="00013142" w:rsidP="00013142">
            <w:pPr>
              <w:widowControl/>
              <w:autoSpaceDE/>
              <w:autoSpaceDN/>
              <w:adjustRightInd/>
              <w:jc w:val="center"/>
              <w:rPr>
                <w:rFonts w:ascii="Cambria" w:hAnsi="Cambria" w:cs="Calibri"/>
                <w:b/>
                <w:bCs/>
                <w:color w:val="000000"/>
                <w:sz w:val="18"/>
                <w:szCs w:val="18"/>
              </w:rPr>
            </w:pPr>
            <w:r w:rsidRPr="00013142">
              <w:rPr>
                <w:rFonts w:ascii="Cambria" w:hAnsi="Cambria" w:cs="Calibri"/>
                <w:b/>
                <w:bCs/>
                <w:color w:val="000000"/>
                <w:sz w:val="18"/>
                <w:szCs w:val="18"/>
              </w:rPr>
              <w:t>CORRIENTE 2019</w:t>
            </w:r>
          </w:p>
        </w:tc>
        <w:tc>
          <w:tcPr>
            <w:tcW w:w="1195" w:type="dxa"/>
            <w:tcBorders>
              <w:top w:val="single" w:sz="8" w:space="0" w:color="auto"/>
              <w:left w:val="nil"/>
              <w:bottom w:val="single" w:sz="8" w:space="0" w:color="auto"/>
              <w:right w:val="nil"/>
            </w:tcBorders>
            <w:shd w:val="clear" w:color="000000" w:fill="F2F2F2"/>
            <w:vAlign w:val="bottom"/>
            <w:hideMark/>
          </w:tcPr>
          <w:p w:rsidR="00013142" w:rsidRPr="00013142" w:rsidRDefault="00013142" w:rsidP="00013142">
            <w:pPr>
              <w:widowControl/>
              <w:autoSpaceDE/>
              <w:autoSpaceDN/>
              <w:adjustRightInd/>
              <w:jc w:val="center"/>
              <w:rPr>
                <w:rFonts w:ascii="Cambria" w:hAnsi="Cambria" w:cs="Calibri"/>
                <w:b/>
                <w:bCs/>
                <w:color w:val="000000"/>
                <w:sz w:val="18"/>
                <w:szCs w:val="18"/>
              </w:rPr>
            </w:pPr>
            <w:r w:rsidRPr="00013142">
              <w:rPr>
                <w:rFonts w:ascii="Cambria" w:hAnsi="Cambria" w:cs="Calibri"/>
                <w:b/>
                <w:bCs/>
                <w:color w:val="000000"/>
                <w:sz w:val="18"/>
                <w:szCs w:val="18"/>
              </w:rPr>
              <w:t>NO CORRIENTE 2019</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Activos por impuesto diferido</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 xml:space="preserve">Activos por </w:t>
            </w:r>
            <w:proofErr w:type="spellStart"/>
            <w:r w:rsidRPr="00013142">
              <w:rPr>
                <w:rFonts w:ascii="Cambria" w:hAnsi="Cambria" w:cs="Calibri"/>
                <w:color w:val="000000"/>
                <w:sz w:val="18"/>
                <w:szCs w:val="18"/>
              </w:rPr>
              <w:t>dif</w:t>
            </w:r>
            <w:proofErr w:type="spellEnd"/>
            <w:r w:rsidRPr="00013142">
              <w:rPr>
                <w:rFonts w:ascii="Cambria" w:hAnsi="Cambria" w:cs="Calibri"/>
                <w:color w:val="000000"/>
                <w:sz w:val="18"/>
                <w:szCs w:val="18"/>
              </w:rPr>
              <w:t>. temporarias deducibles</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Créditos por pérdidas a compensar del ejercicio.</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Activos por impuesto corriente</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 xml:space="preserve"> Impuestos sobre sociedades</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 xml:space="preserve">Otros créditos con las </w:t>
            </w:r>
            <w:proofErr w:type="spellStart"/>
            <w:r w:rsidRPr="00013142">
              <w:rPr>
                <w:rFonts w:ascii="Cambria" w:hAnsi="Cambria" w:cs="Calibri"/>
                <w:b/>
                <w:bCs/>
                <w:color w:val="000000"/>
                <w:sz w:val="18"/>
                <w:szCs w:val="18"/>
              </w:rPr>
              <w:t>Admin</w:t>
            </w:r>
            <w:proofErr w:type="spellEnd"/>
            <w:r w:rsidRPr="00013142">
              <w:rPr>
                <w:rFonts w:ascii="Cambria" w:hAnsi="Cambria" w:cs="Calibri"/>
                <w:b/>
                <w:bCs/>
                <w:color w:val="000000"/>
                <w:sz w:val="18"/>
                <w:szCs w:val="18"/>
              </w:rPr>
              <w:t>. Públicas</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2.158.817,08</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2.490.053,30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Impuesto General Indirecto Canario (IGIC) + IVA</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2.158.817,08</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2.490.053,30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TOTAL ACTIVO</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2.158.817,08</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2.490.053,30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Pasivos por impuesto diferido</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 xml:space="preserve">Pasivos por </w:t>
            </w:r>
            <w:proofErr w:type="spellStart"/>
            <w:r w:rsidRPr="00013142">
              <w:rPr>
                <w:rFonts w:ascii="Cambria" w:hAnsi="Cambria" w:cs="Calibri"/>
                <w:color w:val="000000"/>
                <w:sz w:val="18"/>
                <w:szCs w:val="18"/>
              </w:rPr>
              <w:t>dif</w:t>
            </w:r>
            <w:proofErr w:type="spellEnd"/>
            <w:r w:rsidRPr="00013142">
              <w:rPr>
                <w:rFonts w:ascii="Cambria" w:hAnsi="Cambria" w:cs="Calibri"/>
                <w:color w:val="000000"/>
                <w:sz w:val="18"/>
                <w:szCs w:val="18"/>
              </w:rPr>
              <w:t xml:space="preserve">. temporarias imponibles </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 xml:space="preserve">Otras deudas con las </w:t>
            </w:r>
            <w:proofErr w:type="spellStart"/>
            <w:r w:rsidRPr="00013142">
              <w:rPr>
                <w:rFonts w:ascii="Cambria" w:hAnsi="Cambria" w:cs="Calibri"/>
                <w:b/>
                <w:bCs/>
                <w:color w:val="000000"/>
                <w:sz w:val="18"/>
                <w:szCs w:val="18"/>
              </w:rPr>
              <w:t>Admin</w:t>
            </w:r>
            <w:proofErr w:type="spellEnd"/>
            <w:r w:rsidRPr="00013142">
              <w:rPr>
                <w:rFonts w:ascii="Cambria" w:hAnsi="Cambria" w:cs="Calibri"/>
                <w:b/>
                <w:bCs/>
                <w:color w:val="000000"/>
                <w:sz w:val="18"/>
                <w:szCs w:val="18"/>
              </w:rPr>
              <w:t>.  Públicas</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-179.307,60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-211.246,67</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 xml:space="preserve">Retenciones practicadas </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-118.376,49</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-140.997,83</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Organismos de la Seguridad Social</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-60.931,11</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-70.248,84</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val="300"/>
          <w:jc w:val="center"/>
        </w:trPr>
        <w:tc>
          <w:tcPr>
            <w:tcW w:w="3956"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color w:val="000000"/>
                <w:sz w:val="18"/>
                <w:szCs w:val="18"/>
              </w:rPr>
            </w:pPr>
            <w:r w:rsidRPr="00013142">
              <w:rPr>
                <w:rFonts w:ascii="Cambria" w:hAnsi="Cambria" w:cs="Calibri"/>
                <w:color w:val="000000"/>
                <w:sz w:val="18"/>
                <w:szCs w:val="18"/>
              </w:rPr>
              <w:t>Impuesto General Indirecto Canario (IGIC)</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22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c>
          <w:tcPr>
            <w:tcW w:w="1195" w:type="dxa"/>
            <w:tcBorders>
              <w:top w:val="nil"/>
              <w:left w:val="nil"/>
              <w:bottom w:val="nil"/>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color w:val="000000"/>
                <w:sz w:val="18"/>
                <w:szCs w:val="18"/>
              </w:rPr>
            </w:pPr>
            <w:r w:rsidRPr="00013142">
              <w:rPr>
                <w:rFonts w:ascii="Cambria" w:hAnsi="Cambria" w:cs="Calibri"/>
                <w:color w:val="000000"/>
                <w:sz w:val="18"/>
                <w:szCs w:val="18"/>
              </w:rPr>
              <w:t>0,00</w:t>
            </w:r>
          </w:p>
        </w:tc>
      </w:tr>
      <w:tr w:rsidR="00013142" w:rsidRPr="00013142" w:rsidTr="00205A13">
        <w:trPr>
          <w:trHeight w:hRule="exact" w:val="315"/>
          <w:jc w:val="center"/>
        </w:trPr>
        <w:tc>
          <w:tcPr>
            <w:tcW w:w="3956" w:type="dxa"/>
            <w:tcBorders>
              <w:top w:val="nil"/>
              <w:left w:val="nil"/>
              <w:bottom w:val="single" w:sz="8" w:space="0" w:color="auto"/>
              <w:right w:val="nil"/>
            </w:tcBorders>
            <w:shd w:val="clear" w:color="auto" w:fill="auto"/>
            <w:noWrap/>
            <w:vAlign w:val="bottom"/>
            <w:hideMark/>
          </w:tcPr>
          <w:p w:rsidR="00013142" w:rsidRPr="00013142" w:rsidRDefault="00013142" w:rsidP="00013142">
            <w:pPr>
              <w:widowControl/>
              <w:autoSpaceDE/>
              <w:autoSpaceDN/>
              <w:adjustRightInd/>
              <w:rPr>
                <w:rFonts w:ascii="Cambria" w:hAnsi="Cambria" w:cs="Calibri"/>
                <w:b/>
                <w:bCs/>
                <w:color w:val="000000"/>
                <w:sz w:val="18"/>
                <w:szCs w:val="18"/>
              </w:rPr>
            </w:pPr>
            <w:r w:rsidRPr="00013142">
              <w:rPr>
                <w:rFonts w:ascii="Cambria" w:hAnsi="Cambria" w:cs="Calibri"/>
                <w:b/>
                <w:bCs/>
                <w:color w:val="000000"/>
                <w:sz w:val="18"/>
                <w:szCs w:val="18"/>
              </w:rPr>
              <w:t>TOTAL PASIVO</w:t>
            </w:r>
          </w:p>
        </w:tc>
        <w:tc>
          <w:tcPr>
            <w:tcW w:w="1225" w:type="dxa"/>
            <w:tcBorders>
              <w:top w:val="nil"/>
              <w:left w:val="nil"/>
              <w:bottom w:val="single" w:sz="8" w:space="0" w:color="auto"/>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-179.307,60</w:t>
            </w:r>
          </w:p>
        </w:tc>
        <w:tc>
          <w:tcPr>
            <w:tcW w:w="1195" w:type="dxa"/>
            <w:tcBorders>
              <w:top w:val="nil"/>
              <w:left w:val="nil"/>
              <w:bottom w:val="single" w:sz="8" w:space="0" w:color="auto"/>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c>
          <w:tcPr>
            <w:tcW w:w="1225" w:type="dxa"/>
            <w:tcBorders>
              <w:top w:val="nil"/>
              <w:left w:val="nil"/>
              <w:bottom w:val="single" w:sz="8" w:space="0" w:color="auto"/>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-211.246,67</w:t>
            </w:r>
          </w:p>
        </w:tc>
        <w:tc>
          <w:tcPr>
            <w:tcW w:w="1195" w:type="dxa"/>
            <w:tcBorders>
              <w:top w:val="nil"/>
              <w:left w:val="nil"/>
              <w:bottom w:val="single" w:sz="8" w:space="0" w:color="auto"/>
              <w:right w:val="nil"/>
            </w:tcBorders>
            <w:shd w:val="clear" w:color="auto" w:fill="auto"/>
            <w:noWrap/>
            <w:vAlign w:val="bottom"/>
            <w:hideMark/>
          </w:tcPr>
          <w:p w:rsidR="00013142" w:rsidRPr="00013142" w:rsidRDefault="00013142" w:rsidP="00013142">
            <w:pPr>
              <w:widowControl/>
              <w:autoSpaceDE/>
              <w:autoSpaceDN/>
              <w:adjustRightInd/>
              <w:jc w:val="right"/>
              <w:rPr>
                <w:rFonts w:ascii="Cambria" w:hAnsi="Cambria" w:cs="Calibri"/>
                <w:b/>
                <w:bCs/>
                <w:color w:val="000000"/>
                <w:sz w:val="18"/>
                <w:szCs w:val="18"/>
              </w:rPr>
            </w:pPr>
            <w:r w:rsidRPr="00013142">
              <w:rPr>
                <w:rFonts w:ascii="Cambria" w:hAnsi="Cambria" w:cs="Calibri"/>
                <w:b/>
                <w:bCs/>
                <w:color w:val="000000"/>
                <w:sz w:val="18"/>
                <w:szCs w:val="18"/>
              </w:rPr>
              <w:t>0,00</w:t>
            </w:r>
          </w:p>
        </w:tc>
      </w:tr>
    </w:tbl>
    <w:p w:rsidR="00013142" w:rsidRDefault="00013142"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p>
    <w:p w:rsidR="00205A13" w:rsidRDefault="00205A13" w:rsidP="005C4F30">
      <w:pPr>
        <w:shd w:val="clear" w:color="auto" w:fill="FFFFFF"/>
        <w:ind w:firstLine="709"/>
        <w:jc w:val="both"/>
        <w:rPr>
          <w:rFonts w:ascii="Times New Roman" w:hAnsi="Times New Roman" w:cs="Times New Roman"/>
          <w:b/>
          <w:sz w:val="22"/>
          <w:szCs w:val="22"/>
          <w:u w:val="single"/>
        </w:rPr>
      </w:pPr>
    </w:p>
    <w:p w:rsidR="005C4F30" w:rsidRPr="005C4F30" w:rsidRDefault="005C4F30" w:rsidP="005C4F30">
      <w:pPr>
        <w:shd w:val="clear" w:color="auto" w:fill="FFFFFF"/>
        <w:ind w:firstLine="709"/>
        <w:jc w:val="both"/>
        <w:rPr>
          <w:rFonts w:ascii="Times New Roman" w:hAnsi="Times New Roman" w:cs="Times New Roman"/>
          <w:b/>
          <w:sz w:val="22"/>
          <w:szCs w:val="22"/>
          <w:u w:val="single"/>
        </w:rPr>
      </w:pPr>
      <w:r w:rsidRPr="005C4F30">
        <w:rPr>
          <w:rFonts w:ascii="Times New Roman" w:hAnsi="Times New Roman" w:cs="Times New Roman"/>
          <w:b/>
          <w:sz w:val="22"/>
          <w:szCs w:val="22"/>
          <w:u w:val="single"/>
        </w:rPr>
        <w:t>Activos y Pasivos por impuestos diferidos</w:t>
      </w:r>
    </w:p>
    <w:p w:rsidR="005C4F30" w:rsidRPr="005C4F30" w:rsidRDefault="005C4F30" w:rsidP="005C4F30">
      <w:pPr>
        <w:shd w:val="clear" w:color="auto" w:fill="FFFFFF"/>
        <w:ind w:firstLine="709"/>
        <w:jc w:val="both"/>
        <w:rPr>
          <w:rFonts w:ascii="Times New Roman" w:hAnsi="Times New Roman" w:cs="Times New Roman"/>
          <w:b/>
          <w:sz w:val="22"/>
          <w:szCs w:val="22"/>
          <w:u w:val="single"/>
        </w:rPr>
      </w:pPr>
    </w:p>
    <w:p w:rsidR="0085082D" w:rsidRPr="005C4F30" w:rsidRDefault="005C4F30" w:rsidP="009B4B09">
      <w:pPr>
        <w:shd w:val="clear" w:color="auto" w:fill="FFFFFF"/>
        <w:ind w:firstLine="709"/>
        <w:jc w:val="both"/>
        <w:rPr>
          <w:rFonts w:ascii="Times New Roman" w:hAnsi="Times New Roman" w:cs="Times New Roman"/>
          <w:sz w:val="22"/>
          <w:szCs w:val="22"/>
        </w:rPr>
      </w:pPr>
      <w:r w:rsidRPr="005C4F30">
        <w:rPr>
          <w:rFonts w:ascii="Times New Roman" w:hAnsi="Times New Roman" w:cs="Times New Roman"/>
          <w:sz w:val="22"/>
          <w:szCs w:val="22"/>
        </w:rPr>
        <w:t>No existen saldos por activos ni pasivos por impuestos diferidos</w:t>
      </w:r>
    </w:p>
    <w:p w:rsidR="00013142" w:rsidRDefault="00013142" w:rsidP="000B5AF8">
      <w:pPr>
        <w:shd w:val="clear" w:color="auto" w:fill="FFFFFF"/>
        <w:ind w:firstLine="709"/>
        <w:jc w:val="both"/>
        <w:rPr>
          <w:rFonts w:ascii="Times New Roman" w:hAnsi="Times New Roman" w:cs="Times New Roman"/>
          <w:b/>
          <w:sz w:val="22"/>
          <w:szCs w:val="22"/>
          <w:u w:val="single"/>
        </w:rPr>
      </w:pP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r w:rsidRPr="000B5AF8">
        <w:rPr>
          <w:rFonts w:ascii="Times New Roman" w:hAnsi="Times New Roman" w:cs="Times New Roman"/>
          <w:b/>
          <w:sz w:val="22"/>
          <w:szCs w:val="22"/>
          <w:u w:val="single"/>
        </w:rPr>
        <w:t>Conciliación del resultado contable</w:t>
      </w: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0B5AF8">
        <w:rPr>
          <w:rFonts w:ascii="Times New Roman" w:hAnsi="Times New Roman" w:cs="Times New Roman"/>
          <w:spacing w:val="-3"/>
          <w:sz w:val="22"/>
          <w:szCs w:val="22"/>
          <w:lang w:val="es-ES_tradnl" w:eastAsia="es-ES_tradnl"/>
        </w:rPr>
        <w:t>La conciliación entre el Resultado Contable y la Base Imponible del Impuesto sobre Sociedades (Resultado Fiscal) es la siguiente:</w:t>
      </w: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r w:rsidRPr="000B5AF8">
        <w:rPr>
          <w:rFonts w:ascii="Times New Roman" w:hAnsi="Times New Roman" w:cs="Times New Roman"/>
          <w:b/>
          <w:sz w:val="22"/>
          <w:szCs w:val="22"/>
          <w:u w:val="single"/>
        </w:rPr>
        <w:t xml:space="preserve">Ejercicio </w:t>
      </w:r>
      <w:r>
        <w:rPr>
          <w:rFonts w:ascii="Times New Roman" w:hAnsi="Times New Roman" w:cs="Times New Roman"/>
          <w:b/>
          <w:sz w:val="22"/>
          <w:szCs w:val="22"/>
          <w:u w:val="single"/>
        </w:rPr>
        <w:t>2020</w:t>
      </w:r>
    </w:p>
    <w:p w:rsidR="000B5AF8" w:rsidRPr="008C4924" w:rsidRDefault="000B5AF8" w:rsidP="000B5AF8">
      <w:pPr>
        <w:pStyle w:val="Default"/>
        <w:ind w:right="-284"/>
        <w:rPr>
          <w:rFonts w:asciiTheme="majorHAnsi" w:hAnsiTheme="majorHAnsi"/>
          <w:b/>
          <w:sz w:val="20"/>
          <w:szCs w:val="20"/>
          <w:u w:val="single"/>
        </w:rPr>
      </w:pPr>
    </w:p>
    <w:tbl>
      <w:tblPr>
        <w:tblW w:w="4351" w:type="pct"/>
        <w:jc w:val="right"/>
        <w:tblCellMar>
          <w:left w:w="70" w:type="dxa"/>
          <w:right w:w="70" w:type="dxa"/>
        </w:tblCellMar>
        <w:tblLook w:val="04A0"/>
      </w:tblPr>
      <w:tblGrid>
        <w:gridCol w:w="2847"/>
        <w:gridCol w:w="846"/>
        <w:gridCol w:w="1110"/>
        <w:gridCol w:w="1112"/>
        <w:gridCol w:w="1137"/>
        <w:gridCol w:w="706"/>
        <w:gridCol w:w="998"/>
      </w:tblGrid>
      <w:tr w:rsidR="000B5AF8" w:rsidRPr="00070796" w:rsidTr="00013142">
        <w:trPr>
          <w:trHeight w:val="372"/>
          <w:jc w:val="right"/>
        </w:trPr>
        <w:tc>
          <w:tcPr>
            <w:tcW w:w="1626" w:type="pct"/>
            <w:tcBorders>
              <w:top w:val="single" w:sz="8" w:space="0" w:color="auto"/>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r w:rsidRPr="00070796">
              <w:rPr>
                <w:rFonts w:ascii="Cambria" w:hAnsi="Cambria" w:cs="Calibri"/>
                <w:b/>
                <w:bCs/>
                <w:color w:val="000000"/>
                <w:sz w:val="18"/>
                <w:szCs w:val="18"/>
              </w:rPr>
              <w:t> </w:t>
            </w:r>
          </w:p>
        </w:tc>
        <w:tc>
          <w:tcPr>
            <w:tcW w:w="1752" w:type="pct"/>
            <w:gridSpan w:val="3"/>
            <w:tcBorders>
              <w:top w:val="single" w:sz="8" w:space="0" w:color="auto"/>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6"/>
                <w:szCs w:val="16"/>
              </w:rPr>
            </w:pPr>
            <w:r w:rsidRPr="00070796">
              <w:rPr>
                <w:rFonts w:ascii="Cambria" w:hAnsi="Cambria" w:cs="Calibri"/>
                <w:b/>
                <w:bCs/>
                <w:color w:val="000000"/>
                <w:sz w:val="16"/>
                <w:szCs w:val="16"/>
              </w:rPr>
              <w:t>Cuenta de Pérdidas y Ganancias</w:t>
            </w:r>
          </w:p>
        </w:tc>
        <w:tc>
          <w:tcPr>
            <w:tcW w:w="1622" w:type="pct"/>
            <w:gridSpan w:val="3"/>
            <w:tcBorders>
              <w:top w:val="single" w:sz="8" w:space="0" w:color="auto"/>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6"/>
                <w:szCs w:val="16"/>
              </w:rPr>
            </w:pPr>
            <w:r w:rsidRPr="00070796">
              <w:rPr>
                <w:rFonts w:ascii="Cambria" w:hAnsi="Cambria" w:cs="Calibri"/>
                <w:b/>
                <w:bCs/>
                <w:color w:val="000000"/>
                <w:sz w:val="16"/>
                <w:szCs w:val="16"/>
              </w:rPr>
              <w:t>Ingresos y Gastos directamente imputados al patrimonio neto</w:t>
            </w:r>
          </w:p>
        </w:tc>
      </w:tr>
      <w:tr w:rsidR="000B5AF8" w:rsidRPr="00070796" w:rsidTr="00013142">
        <w:trPr>
          <w:trHeight w:hRule="exact" w:val="335"/>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Saldo de ingresos y gastos del ejercicio</w:t>
            </w:r>
          </w:p>
        </w:tc>
        <w:tc>
          <w:tcPr>
            <w:tcW w:w="1752" w:type="pct"/>
            <w:gridSpan w:val="3"/>
            <w:tcBorders>
              <w:top w:val="single" w:sz="8" w:space="0" w:color="auto"/>
              <w:left w:val="nil"/>
              <w:bottom w:val="single" w:sz="8" w:space="0" w:color="auto"/>
              <w:right w:val="nil"/>
            </w:tcBorders>
            <w:shd w:val="clear" w:color="auto" w:fill="auto"/>
            <w:vAlign w:val="center"/>
            <w:hideMark/>
          </w:tcPr>
          <w:p w:rsidR="000B5AF8" w:rsidRPr="00070796" w:rsidRDefault="000B5AF8" w:rsidP="000B5AF8">
            <w:pPr>
              <w:jc w:val="center"/>
              <w:rPr>
                <w:rFonts w:ascii="Cambria" w:hAnsi="Cambria" w:cs="Calibri"/>
                <w:color w:val="000000"/>
                <w:sz w:val="18"/>
                <w:szCs w:val="18"/>
              </w:rPr>
            </w:pPr>
            <w:r>
              <w:rPr>
                <w:rFonts w:ascii="Cambria" w:hAnsi="Cambria" w:cs="Calibri"/>
                <w:color w:val="000000"/>
                <w:sz w:val="18"/>
                <w:szCs w:val="18"/>
              </w:rPr>
              <w:t>80.192,31</w:t>
            </w:r>
          </w:p>
        </w:tc>
        <w:tc>
          <w:tcPr>
            <w:tcW w:w="1622" w:type="pct"/>
            <w:gridSpan w:val="3"/>
            <w:tcBorders>
              <w:top w:val="single" w:sz="8" w:space="0" w:color="auto"/>
              <w:left w:val="nil"/>
              <w:bottom w:val="single" w:sz="8" w:space="0" w:color="auto"/>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r w:rsidRPr="00070796">
              <w:rPr>
                <w:rFonts w:ascii="Calibri" w:hAnsi="Calibri" w:cs="Calibri"/>
                <w:color w:val="000000"/>
                <w:sz w:val="22"/>
                <w:szCs w:val="22"/>
              </w:rPr>
              <w:t> </w:t>
            </w:r>
          </w:p>
        </w:tc>
      </w:tr>
      <w:tr w:rsidR="007F7DF5" w:rsidRPr="00070796" w:rsidTr="00013142">
        <w:trPr>
          <w:trHeight w:val="310"/>
          <w:jc w:val="right"/>
        </w:trPr>
        <w:tc>
          <w:tcPr>
            <w:tcW w:w="1626" w:type="pct"/>
            <w:tcBorders>
              <w:top w:val="single" w:sz="8" w:space="0" w:color="auto"/>
              <w:left w:val="nil"/>
              <w:bottom w:val="single" w:sz="8" w:space="0" w:color="auto"/>
              <w:right w:val="nil"/>
            </w:tcBorders>
            <w:shd w:val="clear" w:color="000000" w:fill="F2F2F2"/>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 </w:t>
            </w:r>
          </w:p>
        </w:tc>
        <w:tc>
          <w:tcPr>
            <w:tcW w:w="483" w:type="pct"/>
            <w:tcBorders>
              <w:top w:val="nil"/>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proofErr w:type="spellStart"/>
            <w:r w:rsidRPr="00070796">
              <w:rPr>
                <w:rFonts w:ascii="Cambria" w:hAnsi="Cambria" w:cs="Calibri"/>
                <w:b/>
                <w:bCs/>
                <w:color w:val="000000"/>
                <w:sz w:val="18"/>
                <w:szCs w:val="18"/>
              </w:rPr>
              <w:t>Aum</w:t>
            </w:r>
            <w:proofErr w:type="spellEnd"/>
            <w:r w:rsidRPr="00070796">
              <w:rPr>
                <w:rFonts w:ascii="Cambria" w:hAnsi="Cambria" w:cs="Calibri"/>
                <w:b/>
                <w:bCs/>
                <w:color w:val="000000"/>
                <w:sz w:val="18"/>
                <w:szCs w:val="18"/>
              </w:rPr>
              <w:t>.</w:t>
            </w:r>
          </w:p>
        </w:tc>
        <w:tc>
          <w:tcPr>
            <w:tcW w:w="634" w:type="pct"/>
            <w:tcBorders>
              <w:top w:val="nil"/>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proofErr w:type="spellStart"/>
            <w:r w:rsidRPr="00070796">
              <w:rPr>
                <w:rFonts w:ascii="Cambria" w:hAnsi="Cambria" w:cs="Calibri"/>
                <w:b/>
                <w:bCs/>
                <w:color w:val="000000"/>
                <w:sz w:val="18"/>
                <w:szCs w:val="18"/>
              </w:rPr>
              <w:t>Dism</w:t>
            </w:r>
            <w:proofErr w:type="spellEnd"/>
            <w:r w:rsidRPr="00070796">
              <w:rPr>
                <w:rFonts w:ascii="Cambria" w:hAnsi="Cambria" w:cs="Calibri"/>
                <w:b/>
                <w:bCs/>
                <w:color w:val="000000"/>
                <w:sz w:val="18"/>
                <w:szCs w:val="18"/>
              </w:rPr>
              <w:t>.</w:t>
            </w:r>
          </w:p>
        </w:tc>
        <w:tc>
          <w:tcPr>
            <w:tcW w:w="635" w:type="pct"/>
            <w:tcBorders>
              <w:top w:val="nil"/>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proofErr w:type="spellStart"/>
            <w:r w:rsidRPr="00070796">
              <w:rPr>
                <w:rFonts w:ascii="Cambria" w:hAnsi="Cambria" w:cs="Calibri"/>
                <w:b/>
                <w:bCs/>
                <w:color w:val="000000"/>
                <w:sz w:val="18"/>
                <w:szCs w:val="18"/>
              </w:rPr>
              <w:t>Efec</w:t>
            </w:r>
            <w:proofErr w:type="spellEnd"/>
            <w:r w:rsidRPr="00070796">
              <w:rPr>
                <w:rFonts w:ascii="Cambria" w:hAnsi="Cambria" w:cs="Calibri"/>
                <w:b/>
                <w:bCs/>
                <w:color w:val="000000"/>
                <w:sz w:val="18"/>
                <w:szCs w:val="18"/>
              </w:rPr>
              <w:t xml:space="preserve"> Neto</w:t>
            </w:r>
          </w:p>
        </w:tc>
        <w:tc>
          <w:tcPr>
            <w:tcW w:w="649" w:type="pct"/>
            <w:tcBorders>
              <w:top w:val="nil"/>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r w:rsidRPr="00070796">
              <w:rPr>
                <w:rFonts w:ascii="Cambria" w:hAnsi="Cambria" w:cs="Calibri"/>
                <w:b/>
                <w:bCs/>
                <w:color w:val="000000"/>
                <w:sz w:val="18"/>
                <w:szCs w:val="18"/>
              </w:rPr>
              <w:t>Aumentos</w:t>
            </w:r>
          </w:p>
        </w:tc>
        <w:tc>
          <w:tcPr>
            <w:tcW w:w="403" w:type="pct"/>
            <w:tcBorders>
              <w:top w:val="nil"/>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proofErr w:type="spellStart"/>
            <w:r w:rsidRPr="00070796">
              <w:rPr>
                <w:rFonts w:ascii="Cambria" w:hAnsi="Cambria" w:cs="Calibri"/>
                <w:b/>
                <w:bCs/>
                <w:color w:val="000000"/>
                <w:sz w:val="18"/>
                <w:szCs w:val="18"/>
              </w:rPr>
              <w:t>Dism</w:t>
            </w:r>
            <w:proofErr w:type="spellEnd"/>
            <w:r w:rsidRPr="00070796">
              <w:rPr>
                <w:rFonts w:ascii="Cambria" w:hAnsi="Cambria" w:cs="Calibri"/>
                <w:b/>
                <w:bCs/>
                <w:color w:val="000000"/>
                <w:sz w:val="18"/>
                <w:szCs w:val="18"/>
              </w:rPr>
              <w:t>.</w:t>
            </w:r>
          </w:p>
        </w:tc>
        <w:tc>
          <w:tcPr>
            <w:tcW w:w="570" w:type="pct"/>
            <w:tcBorders>
              <w:top w:val="nil"/>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b/>
                <w:bCs/>
                <w:color w:val="000000"/>
                <w:sz w:val="18"/>
                <w:szCs w:val="18"/>
              </w:rPr>
            </w:pPr>
            <w:proofErr w:type="spellStart"/>
            <w:r w:rsidRPr="00070796">
              <w:rPr>
                <w:rFonts w:ascii="Cambria" w:hAnsi="Cambria" w:cs="Calibri"/>
                <w:b/>
                <w:bCs/>
                <w:color w:val="000000"/>
                <w:sz w:val="18"/>
                <w:szCs w:val="18"/>
              </w:rPr>
              <w:t>Efec</w:t>
            </w:r>
            <w:proofErr w:type="spellEnd"/>
            <w:r w:rsidRPr="00070796">
              <w:rPr>
                <w:rFonts w:ascii="Cambria" w:hAnsi="Cambria" w:cs="Calibri"/>
                <w:b/>
                <w:bCs/>
                <w:color w:val="000000"/>
                <w:sz w:val="18"/>
                <w:szCs w:val="18"/>
              </w:rPr>
              <w:t xml:space="preserve"> Neto</w:t>
            </w:r>
          </w:p>
        </w:tc>
      </w:tr>
      <w:tr w:rsidR="000B5AF8" w:rsidRPr="00070796" w:rsidTr="00013142">
        <w:trPr>
          <w:trHeight w:hRule="exact" w:val="280"/>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Impuesto sobre Sociedades</w:t>
            </w:r>
          </w:p>
        </w:tc>
        <w:tc>
          <w:tcPr>
            <w:tcW w:w="483"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sidRPr="00070796">
              <w:rPr>
                <w:rFonts w:ascii="Cambria" w:hAnsi="Cambria" w:cs="Calibri"/>
                <w:color w:val="000000"/>
                <w:sz w:val="18"/>
                <w:szCs w:val="18"/>
              </w:rPr>
              <w:t>0,00</w:t>
            </w:r>
          </w:p>
        </w:tc>
        <w:tc>
          <w:tcPr>
            <w:tcW w:w="634"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0,00</w:t>
            </w:r>
          </w:p>
        </w:tc>
        <w:tc>
          <w:tcPr>
            <w:tcW w:w="635"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0,00</w:t>
            </w:r>
          </w:p>
        </w:tc>
        <w:tc>
          <w:tcPr>
            <w:tcW w:w="649"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40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570"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r>
      <w:tr w:rsidR="000B5AF8" w:rsidRPr="00070796" w:rsidTr="00013142">
        <w:trPr>
          <w:trHeight w:hRule="exact" w:val="280"/>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Diferencias permanentes</w:t>
            </w:r>
          </w:p>
        </w:tc>
        <w:tc>
          <w:tcPr>
            <w:tcW w:w="483"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8.925,00</w:t>
            </w:r>
          </w:p>
        </w:tc>
        <w:tc>
          <w:tcPr>
            <w:tcW w:w="634"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635"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8.925,00</w:t>
            </w:r>
          </w:p>
        </w:tc>
        <w:tc>
          <w:tcPr>
            <w:tcW w:w="649"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40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570"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r>
      <w:tr w:rsidR="000B5AF8" w:rsidRPr="00070796" w:rsidTr="00013142">
        <w:trPr>
          <w:trHeight w:hRule="exact" w:val="280"/>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Diferencias temporarias:</w:t>
            </w:r>
          </w:p>
        </w:tc>
        <w:tc>
          <w:tcPr>
            <w:tcW w:w="48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634"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0,00</w:t>
            </w:r>
          </w:p>
        </w:tc>
        <w:tc>
          <w:tcPr>
            <w:tcW w:w="635"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0,00</w:t>
            </w:r>
          </w:p>
        </w:tc>
        <w:tc>
          <w:tcPr>
            <w:tcW w:w="649"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40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570"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r>
      <w:tr w:rsidR="000B5AF8" w:rsidRPr="00070796" w:rsidTr="00013142">
        <w:trPr>
          <w:trHeight w:hRule="exact" w:val="280"/>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-con origen en el ejercicio</w:t>
            </w:r>
          </w:p>
        </w:tc>
        <w:tc>
          <w:tcPr>
            <w:tcW w:w="48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634"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635"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sidRPr="00070796">
              <w:rPr>
                <w:rFonts w:ascii="Cambria" w:hAnsi="Cambria" w:cs="Calibri"/>
                <w:color w:val="000000"/>
                <w:sz w:val="18"/>
                <w:szCs w:val="18"/>
              </w:rPr>
              <w:t>0,00</w:t>
            </w:r>
          </w:p>
        </w:tc>
        <w:tc>
          <w:tcPr>
            <w:tcW w:w="649"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40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570"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r>
      <w:tr w:rsidR="000B5AF8" w:rsidRPr="00070796" w:rsidTr="00013142">
        <w:trPr>
          <w:trHeight w:hRule="exact" w:val="280"/>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 xml:space="preserve">-con origen en </w:t>
            </w:r>
            <w:proofErr w:type="spellStart"/>
            <w:r w:rsidRPr="00070796">
              <w:rPr>
                <w:rFonts w:ascii="Cambria" w:hAnsi="Cambria" w:cs="Calibri"/>
                <w:color w:val="000000"/>
                <w:sz w:val="16"/>
                <w:szCs w:val="16"/>
              </w:rPr>
              <w:t>ejer</w:t>
            </w:r>
            <w:proofErr w:type="spellEnd"/>
            <w:r w:rsidRPr="00070796">
              <w:rPr>
                <w:rFonts w:ascii="Cambria" w:hAnsi="Cambria" w:cs="Calibri"/>
                <w:color w:val="000000"/>
                <w:sz w:val="16"/>
                <w:szCs w:val="16"/>
              </w:rPr>
              <w:t>.</w:t>
            </w:r>
            <w:r>
              <w:rPr>
                <w:rFonts w:ascii="Cambria" w:hAnsi="Cambria" w:cs="Calibri"/>
                <w:color w:val="000000"/>
                <w:sz w:val="16"/>
                <w:szCs w:val="16"/>
              </w:rPr>
              <w:t xml:space="preserve"> </w:t>
            </w:r>
            <w:proofErr w:type="spellStart"/>
            <w:proofErr w:type="gramStart"/>
            <w:r w:rsidRPr="00070796">
              <w:rPr>
                <w:rFonts w:ascii="Cambria" w:hAnsi="Cambria" w:cs="Calibri"/>
                <w:color w:val="000000"/>
                <w:sz w:val="16"/>
                <w:szCs w:val="16"/>
              </w:rPr>
              <w:t>anter</w:t>
            </w:r>
            <w:proofErr w:type="spellEnd"/>
            <w:proofErr w:type="gramEnd"/>
            <w:r w:rsidRPr="00070796">
              <w:rPr>
                <w:rFonts w:ascii="Cambria" w:hAnsi="Cambria" w:cs="Calibri"/>
                <w:color w:val="000000"/>
                <w:sz w:val="16"/>
                <w:szCs w:val="16"/>
              </w:rPr>
              <w:t>.</w:t>
            </w:r>
          </w:p>
        </w:tc>
        <w:tc>
          <w:tcPr>
            <w:tcW w:w="48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634"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0,00</w:t>
            </w:r>
          </w:p>
        </w:tc>
        <w:tc>
          <w:tcPr>
            <w:tcW w:w="635" w:type="pct"/>
            <w:tcBorders>
              <w:top w:val="nil"/>
              <w:left w:val="nil"/>
              <w:bottom w:val="nil"/>
              <w:right w:val="nil"/>
            </w:tcBorders>
            <w:shd w:val="clear" w:color="auto" w:fill="auto"/>
            <w:vAlign w:val="center"/>
            <w:hideMark/>
          </w:tcPr>
          <w:p w:rsidR="000B5AF8" w:rsidRPr="00070796" w:rsidRDefault="000B5AF8" w:rsidP="000B5AF8">
            <w:pPr>
              <w:jc w:val="right"/>
              <w:rPr>
                <w:rFonts w:ascii="Cambria" w:hAnsi="Cambria" w:cs="Calibri"/>
                <w:color w:val="000000"/>
                <w:sz w:val="18"/>
                <w:szCs w:val="18"/>
              </w:rPr>
            </w:pPr>
            <w:r>
              <w:rPr>
                <w:rFonts w:ascii="Cambria" w:hAnsi="Cambria" w:cs="Calibri"/>
                <w:color w:val="000000"/>
                <w:sz w:val="18"/>
                <w:szCs w:val="18"/>
              </w:rPr>
              <w:t>0,00</w:t>
            </w:r>
          </w:p>
        </w:tc>
        <w:tc>
          <w:tcPr>
            <w:tcW w:w="649"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403"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c>
          <w:tcPr>
            <w:tcW w:w="570" w:type="pct"/>
            <w:tcBorders>
              <w:top w:val="nil"/>
              <w:left w:val="nil"/>
              <w:bottom w:val="nil"/>
              <w:right w:val="nil"/>
            </w:tcBorders>
            <w:shd w:val="clear" w:color="auto" w:fill="auto"/>
            <w:vAlign w:val="center"/>
            <w:hideMark/>
          </w:tcPr>
          <w:p w:rsidR="000B5AF8" w:rsidRPr="00070796" w:rsidRDefault="000B5AF8" w:rsidP="000B5AF8">
            <w:pPr>
              <w:rPr>
                <w:rFonts w:ascii="Calibri" w:hAnsi="Calibri" w:cs="Calibri"/>
                <w:color w:val="000000"/>
                <w:sz w:val="22"/>
                <w:szCs w:val="22"/>
              </w:rPr>
            </w:pPr>
          </w:p>
        </w:tc>
      </w:tr>
      <w:tr w:rsidR="000B5AF8" w:rsidRPr="00070796" w:rsidTr="00013142">
        <w:trPr>
          <w:trHeight w:hRule="exact" w:val="280"/>
          <w:jc w:val="right"/>
        </w:trPr>
        <w:tc>
          <w:tcPr>
            <w:tcW w:w="1626" w:type="pct"/>
            <w:tcBorders>
              <w:top w:val="nil"/>
              <w:left w:val="nil"/>
              <w:bottom w:val="nil"/>
              <w:right w:val="nil"/>
            </w:tcBorders>
            <w:shd w:val="clear" w:color="auto" w:fill="auto"/>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 xml:space="preserve">Compensación BI </w:t>
            </w:r>
            <w:proofErr w:type="spellStart"/>
            <w:r w:rsidRPr="00070796">
              <w:rPr>
                <w:rFonts w:ascii="Cambria" w:hAnsi="Cambria" w:cs="Calibri"/>
                <w:color w:val="000000"/>
                <w:sz w:val="16"/>
                <w:szCs w:val="16"/>
              </w:rPr>
              <w:t>negat</w:t>
            </w:r>
            <w:proofErr w:type="spellEnd"/>
            <w:r w:rsidRPr="00070796">
              <w:rPr>
                <w:rFonts w:ascii="Cambria" w:hAnsi="Cambria" w:cs="Calibri"/>
                <w:color w:val="000000"/>
                <w:sz w:val="16"/>
                <w:szCs w:val="16"/>
              </w:rPr>
              <w:t>.</w:t>
            </w:r>
            <w:r>
              <w:rPr>
                <w:rFonts w:ascii="Cambria" w:hAnsi="Cambria" w:cs="Calibri"/>
                <w:color w:val="000000"/>
                <w:sz w:val="16"/>
                <w:szCs w:val="16"/>
              </w:rPr>
              <w:t xml:space="preserve"> </w:t>
            </w:r>
            <w:proofErr w:type="spellStart"/>
            <w:proofErr w:type="gramStart"/>
            <w:r w:rsidRPr="00070796">
              <w:rPr>
                <w:rFonts w:ascii="Cambria" w:hAnsi="Cambria" w:cs="Calibri"/>
                <w:color w:val="000000"/>
                <w:sz w:val="16"/>
                <w:szCs w:val="16"/>
              </w:rPr>
              <w:t>ejer</w:t>
            </w:r>
            <w:proofErr w:type="spellEnd"/>
            <w:proofErr w:type="gramEnd"/>
            <w:r w:rsidRPr="00070796">
              <w:rPr>
                <w:rFonts w:ascii="Cambria" w:hAnsi="Cambria" w:cs="Calibri"/>
                <w:color w:val="000000"/>
                <w:sz w:val="16"/>
                <w:szCs w:val="16"/>
              </w:rPr>
              <w:t>.</w:t>
            </w:r>
            <w:r>
              <w:rPr>
                <w:rFonts w:ascii="Cambria" w:hAnsi="Cambria" w:cs="Calibri"/>
                <w:color w:val="000000"/>
                <w:sz w:val="16"/>
                <w:szCs w:val="16"/>
              </w:rPr>
              <w:t xml:space="preserve"> </w:t>
            </w:r>
            <w:proofErr w:type="spellStart"/>
            <w:proofErr w:type="gramStart"/>
            <w:r w:rsidRPr="00070796">
              <w:rPr>
                <w:rFonts w:ascii="Cambria" w:hAnsi="Cambria" w:cs="Calibri"/>
                <w:color w:val="000000"/>
                <w:sz w:val="16"/>
                <w:szCs w:val="16"/>
              </w:rPr>
              <w:t>anter</w:t>
            </w:r>
            <w:proofErr w:type="spellEnd"/>
            <w:proofErr w:type="gramEnd"/>
            <w:r>
              <w:rPr>
                <w:rFonts w:ascii="Cambria" w:hAnsi="Cambria" w:cs="Calibri"/>
                <w:color w:val="000000"/>
                <w:sz w:val="16"/>
                <w:szCs w:val="16"/>
              </w:rPr>
              <w:t>.</w:t>
            </w:r>
          </w:p>
        </w:tc>
        <w:tc>
          <w:tcPr>
            <w:tcW w:w="3374" w:type="pct"/>
            <w:gridSpan w:val="6"/>
            <w:tcBorders>
              <w:top w:val="nil"/>
              <w:left w:val="nil"/>
              <w:bottom w:val="single" w:sz="8" w:space="0" w:color="auto"/>
              <w:right w:val="nil"/>
            </w:tcBorders>
            <w:shd w:val="clear" w:color="auto" w:fill="auto"/>
            <w:vAlign w:val="center"/>
            <w:hideMark/>
          </w:tcPr>
          <w:p w:rsidR="000B5AF8" w:rsidRPr="00070796" w:rsidRDefault="000B5AF8" w:rsidP="000B5AF8">
            <w:pPr>
              <w:jc w:val="center"/>
              <w:rPr>
                <w:rFonts w:ascii="Cambria" w:hAnsi="Cambria" w:cs="Calibri"/>
                <w:color w:val="000000"/>
                <w:sz w:val="18"/>
                <w:szCs w:val="18"/>
              </w:rPr>
            </w:pPr>
            <w:r>
              <w:rPr>
                <w:rFonts w:ascii="Cambria" w:hAnsi="Cambria" w:cs="Calibri"/>
                <w:color w:val="000000"/>
                <w:sz w:val="18"/>
                <w:szCs w:val="18"/>
              </w:rPr>
              <w:t>-89.117,31</w:t>
            </w:r>
          </w:p>
        </w:tc>
      </w:tr>
      <w:tr w:rsidR="000B5AF8" w:rsidRPr="00070796" w:rsidTr="00013142">
        <w:trPr>
          <w:trHeight w:val="310"/>
          <w:jc w:val="right"/>
        </w:trPr>
        <w:tc>
          <w:tcPr>
            <w:tcW w:w="1626" w:type="pct"/>
            <w:tcBorders>
              <w:top w:val="single" w:sz="8" w:space="0" w:color="auto"/>
              <w:left w:val="nil"/>
              <w:bottom w:val="single" w:sz="8" w:space="0" w:color="auto"/>
              <w:right w:val="nil"/>
            </w:tcBorders>
            <w:shd w:val="clear" w:color="000000" w:fill="F2F2F2"/>
            <w:vAlign w:val="center"/>
            <w:hideMark/>
          </w:tcPr>
          <w:p w:rsidR="000B5AF8" w:rsidRPr="00070796" w:rsidRDefault="000B5AF8" w:rsidP="000B5AF8">
            <w:pPr>
              <w:rPr>
                <w:rFonts w:ascii="Cambria" w:hAnsi="Cambria" w:cs="Calibri"/>
                <w:color w:val="000000"/>
                <w:sz w:val="16"/>
                <w:szCs w:val="16"/>
              </w:rPr>
            </w:pPr>
            <w:r w:rsidRPr="00070796">
              <w:rPr>
                <w:rFonts w:ascii="Cambria" w:hAnsi="Cambria" w:cs="Calibri"/>
                <w:color w:val="000000"/>
                <w:sz w:val="16"/>
                <w:szCs w:val="16"/>
              </w:rPr>
              <w:t>Base imponible (</w:t>
            </w:r>
            <w:proofErr w:type="spellStart"/>
            <w:r w:rsidRPr="00070796">
              <w:rPr>
                <w:rFonts w:ascii="Cambria" w:hAnsi="Cambria" w:cs="Calibri"/>
                <w:color w:val="000000"/>
                <w:sz w:val="16"/>
                <w:szCs w:val="16"/>
              </w:rPr>
              <w:t>rtdo</w:t>
            </w:r>
            <w:proofErr w:type="spellEnd"/>
            <w:r w:rsidRPr="00070796">
              <w:rPr>
                <w:rFonts w:ascii="Cambria" w:hAnsi="Cambria" w:cs="Calibri"/>
                <w:color w:val="000000"/>
                <w:sz w:val="16"/>
                <w:szCs w:val="16"/>
              </w:rPr>
              <w:t>. fiscal)</w:t>
            </w:r>
          </w:p>
        </w:tc>
        <w:tc>
          <w:tcPr>
            <w:tcW w:w="3374" w:type="pct"/>
            <w:gridSpan w:val="6"/>
            <w:tcBorders>
              <w:top w:val="single" w:sz="8" w:space="0" w:color="auto"/>
              <w:left w:val="nil"/>
              <w:bottom w:val="single" w:sz="8" w:space="0" w:color="auto"/>
              <w:right w:val="nil"/>
            </w:tcBorders>
            <w:shd w:val="clear" w:color="000000" w:fill="F2F2F2"/>
            <w:vAlign w:val="center"/>
            <w:hideMark/>
          </w:tcPr>
          <w:p w:rsidR="000B5AF8" w:rsidRPr="00070796" w:rsidRDefault="000B5AF8" w:rsidP="000B5AF8">
            <w:pPr>
              <w:jc w:val="center"/>
              <w:rPr>
                <w:rFonts w:ascii="Cambria" w:hAnsi="Cambria" w:cs="Calibri"/>
                <w:color w:val="000000"/>
                <w:sz w:val="18"/>
                <w:szCs w:val="18"/>
              </w:rPr>
            </w:pPr>
            <w:r>
              <w:rPr>
                <w:rFonts w:ascii="Cambria" w:hAnsi="Cambria" w:cs="Calibri"/>
                <w:color w:val="000000"/>
                <w:sz w:val="18"/>
                <w:szCs w:val="18"/>
              </w:rPr>
              <w:t>0,00</w:t>
            </w:r>
          </w:p>
        </w:tc>
      </w:tr>
    </w:tbl>
    <w:p w:rsidR="000B5AF8" w:rsidRPr="00997563" w:rsidRDefault="000B5AF8" w:rsidP="000B5AF8">
      <w:pPr>
        <w:pStyle w:val="Default"/>
        <w:ind w:right="-284"/>
        <w:rPr>
          <w:rFonts w:asciiTheme="majorHAnsi" w:hAnsiTheme="majorHAnsi"/>
          <w:b/>
          <w:sz w:val="20"/>
          <w:szCs w:val="20"/>
          <w:highlight w:val="yellow"/>
          <w:u w:val="single"/>
        </w:rPr>
      </w:pPr>
    </w:p>
    <w:p w:rsidR="000B5AF8" w:rsidRDefault="000B5AF8" w:rsidP="000B5AF8">
      <w:pPr>
        <w:pStyle w:val="Default"/>
        <w:ind w:right="-284"/>
        <w:rPr>
          <w:rFonts w:asciiTheme="majorHAnsi" w:hAnsiTheme="majorHAnsi"/>
          <w:b/>
          <w:sz w:val="20"/>
          <w:szCs w:val="20"/>
          <w:highlight w:val="yellow"/>
          <w:u w:val="single"/>
        </w:rPr>
      </w:pP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r w:rsidRPr="000B5AF8">
        <w:rPr>
          <w:rFonts w:ascii="Times New Roman" w:hAnsi="Times New Roman" w:cs="Times New Roman"/>
          <w:b/>
          <w:sz w:val="22"/>
          <w:szCs w:val="22"/>
          <w:u w:val="single"/>
        </w:rPr>
        <w:t xml:space="preserve">Ejercicio </w:t>
      </w:r>
      <w:r>
        <w:rPr>
          <w:rFonts w:ascii="Times New Roman" w:hAnsi="Times New Roman" w:cs="Times New Roman"/>
          <w:b/>
          <w:sz w:val="22"/>
          <w:szCs w:val="22"/>
          <w:u w:val="single"/>
        </w:rPr>
        <w:t>2019</w:t>
      </w:r>
    </w:p>
    <w:p w:rsidR="000B5AF8" w:rsidRPr="00997563" w:rsidRDefault="000B5AF8" w:rsidP="000B5AF8">
      <w:pPr>
        <w:pStyle w:val="Default"/>
        <w:ind w:right="-284"/>
        <w:rPr>
          <w:rFonts w:asciiTheme="majorHAnsi" w:hAnsiTheme="majorHAnsi"/>
          <w:b/>
          <w:sz w:val="20"/>
          <w:szCs w:val="20"/>
          <w:highlight w:val="yellow"/>
          <w:u w:val="single"/>
        </w:rPr>
      </w:pPr>
    </w:p>
    <w:tbl>
      <w:tblPr>
        <w:tblW w:w="4338" w:type="pct"/>
        <w:jc w:val="right"/>
        <w:tblCellMar>
          <w:left w:w="70" w:type="dxa"/>
          <w:right w:w="70" w:type="dxa"/>
        </w:tblCellMar>
        <w:tblLook w:val="04A0"/>
      </w:tblPr>
      <w:tblGrid>
        <w:gridCol w:w="2831"/>
        <w:gridCol w:w="980"/>
        <w:gridCol w:w="1011"/>
        <w:gridCol w:w="1100"/>
        <w:gridCol w:w="1126"/>
        <w:gridCol w:w="697"/>
        <w:gridCol w:w="985"/>
      </w:tblGrid>
      <w:tr w:rsidR="000B5AF8" w:rsidRPr="00ED7F2E" w:rsidTr="007F7DF5">
        <w:trPr>
          <w:trHeight w:val="377"/>
          <w:jc w:val="right"/>
        </w:trPr>
        <w:tc>
          <w:tcPr>
            <w:tcW w:w="1622" w:type="pct"/>
            <w:tcBorders>
              <w:top w:val="single" w:sz="8" w:space="0" w:color="auto"/>
              <w:left w:val="nil"/>
              <w:bottom w:val="single" w:sz="8" w:space="0" w:color="auto"/>
              <w:right w:val="nil"/>
            </w:tcBorders>
            <w:shd w:val="clear" w:color="000000" w:fill="F2F2F2"/>
            <w:vAlign w:val="center"/>
            <w:hideMark/>
          </w:tcPr>
          <w:p w:rsidR="000B5AF8" w:rsidRPr="008C4924" w:rsidRDefault="000B5AF8" w:rsidP="000B5AF8">
            <w:pPr>
              <w:jc w:val="center"/>
              <w:rPr>
                <w:rFonts w:ascii="Cambria" w:hAnsi="Cambria"/>
                <w:b/>
                <w:bCs/>
                <w:color w:val="000000"/>
                <w:sz w:val="18"/>
                <w:szCs w:val="18"/>
              </w:rPr>
            </w:pPr>
            <w:r w:rsidRPr="008C4924">
              <w:rPr>
                <w:rFonts w:ascii="Cambria" w:hAnsi="Cambria"/>
                <w:b/>
                <w:bCs/>
                <w:color w:val="000000"/>
                <w:sz w:val="18"/>
                <w:szCs w:val="18"/>
              </w:rPr>
              <w:t> </w:t>
            </w:r>
          </w:p>
        </w:tc>
        <w:tc>
          <w:tcPr>
            <w:tcW w:w="1770" w:type="pct"/>
            <w:gridSpan w:val="3"/>
            <w:tcBorders>
              <w:top w:val="single" w:sz="8" w:space="0" w:color="auto"/>
              <w:left w:val="nil"/>
              <w:bottom w:val="single" w:sz="8" w:space="0" w:color="auto"/>
              <w:right w:val="nil"/>
            </w:tcBorders>
            <w:shd w:val="clear" w:color="000000" w:fill="F2F2F2"/>
            <w:vAlign w:val="center"/>
            <w:hideMark/>
          </w:tcPr>
          <w:p w:rsidR="000B5AF8" w:rsidRPr="008C4924" w:rsidRDefault="000B5AF8" w:rsidP="000B5AF8">
            <w:pPr>
              <w:jc w:val="center"/>
              <w:rPr>
                <w:rFonts w:ascii="Cambria" w:hAnsi="Cambria"/>
                <w:b/>
                <w:bCs/>
                <w:color w:val="000000"/>
                <w:sz w:val="16"/>
                <w:szCs w:val="16"/>
              </w:rPr>
            </w:pPr>
            <w:r w:rsidRPr="008C4924">
              <w:rPr>
                <w:rFonts w:ascii="Cambria" w:hAnsi="Cambria"/>
                <w:b/>
                <w:bCs/>
                <w:color w:val="000000"/>
                <w:sz w:val="16"/>
                <w:szCs w:val="16"/>
              </w:rPr>
              <w:t>Cuenta de Pérdidas y Ganancias</w:t>
            </w:r>
          </w:p>
        </w:tc>
        <w:tc>
          <w:tcPr>
            <w:tcW w:w="1608" w:type="pct"/>
            <w:gridSpan w:val="3"/>
            <w:tcBorders>
              <w:top w:val="single" w:sz="8" w:space="0" w:color="auto"/>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6"/>
                <w:szCs w:val="16"/>
              </w:rPr>
            </w:pPr>
            <w:r w:rsidRPr="008C4924">
              <w:rPr>
                <w:rFonts w:ascii="Cambria" w:hAnsi="Cambria"/>
                <w:b/>
                <w:bCs/>
                <w:color w:val="000000"/>
                <w:sz w:val="16"/>
                <w:szCs w:val="16"/>
              </w:rPr>
              <w:t>Ingresos y Gastos directamente imputados al patrimonio neto</w:t>
            </w:r>
          </w:p>
        </w:tc>
      </w:tr>
      <w:tr w:rsidR="000B5AF8" w:rsidRPr="00ED7F2E" w:rsidTr="007F7DF5">
        <w:trPr>
          <w:trHeight w:hRule="exact" w:val="322"/>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Saldo de ingresos y gastos del ejercicio</w:t>
            </w:r>
          </w:p>
        </w:tc>
        <w:tc>
          <w:tcPr>
            <w:tcW w:w="1770" w:type="pct"/>
            <w:gridSpan w:val="3"/>
            <w:tcBorders>
              <w:top w:val="single" w:sz="8" w:space="0" w:color="auto"/>
              <w:left w:val="nil"/>
              <w:bottom w:val="single" w:sz="8" w:space="0" w:color="auto"/>
              <w:right w:val="nil"/>
            </w:tcBorders>
            <w:shd w:val="clear" w:color="auto" w:fill="auto"/>
            <w:vAlign w:val="center"/>
            <w:hideMark/>
          </w:tcPr>
          <w:p w:rsidR="000B5AF8" w:rsidRPr="00ED7F2E" w:rsidRDefault="000B5AF8" w:rsidP="000B5AF8">
            <w:pPr>
              <w:jc w:val="center"/>
              <w:rPr>
                <w:rFonts w:ascii="Cambria" w:hAnsi="Cambria"/>
                <w:color w:val="000000"/>
                <w:sz w:val="18"/>
                <w:szCs w:val="18"/>
              </w:rPr>
            </w:pPr>
            <w:r>
              <w:rPr>
                <w:rFonts w:ascii="Cambria" w:hAnsi="Cambria"/>
                <w:color w:val="000000"/>
                <w:sz w:val="18"/>
                <w:szCs w:val="18"/>
              </w:rPr>
              <w:t>65.759,02</w:t>
            </w:r>
          </w:p>
        </w:tc>
        <w:tc>
          <w:tcPr>
            <w:tcW w:w="1608" w:type="pct"/>
            <w:gridSpan w:val="3"/>
            <w:tcBorders>
              <w:top w:val="single" w:sz="8" w:space="0" w:color="auto"/>
              <w:left w:val="nil"/>
              <w:bottom w:val="single" w:sz="8" w:space="0" w:color="auto"/>
              <w:right w:val="nil"/>
            </w:tcBorders>
            <w:shd w:val="clear" w:color="auto" w:fill="auto"/>
            <w:vAlign w:val="center"/>
            <w:hideMark/>
          </w:tcPr>
          <w:p w:rsidR="000B5AF8" w:rsidRPr="00ED7F2E" w:rsidRDefault="000B5AF8" w:rsidP="000B5AF8">
            <w:pPr>
              <w:rPr>
                <w:rFonts w:ascii="Calibri" w:hAnsi="Calibri"/>
                <w:color w:val="000000"/>
                <w:sz w:val="22"/>
                <w:szCs w:val="22"/>
              </w:rPr>
            </w:pPr>
            <w:r w:rsidRPr="00ED7F2E">
              <w:rPr>
                <w:rFonts w:ascii="Calibri" w:hAnsi="Calibri"/>
                <w:color w:val="000000"/>
                <w:sz w:val="22"/>
                <w:szCs w:val="22"/>
              </w:rPr>
              <w:t> </w:t>
            </w:r>
          </w:p>
        </w:tc>
      </w:tr>
      <w:tr w:rsidR="000B5AF8" w:rsidRPr="00ED7F2E" w:rsidTr="007F7DF5">
        <w:trPr>
          <w:trHeight w:val="299"/>
          <w:jc w:val="right"/>
        </w:trPr>
        <w:tc>
          <w:tcPr>
            <w:tcW w:w="1622" w:type="pct"/>
            <w:tcBorders>
              <w:top w:val="single" w:sz="8" w:space="0" w:color="auto"/>
              <w:left w:val="nil"/>
              <w:bottom w:val="single" w:sz="8" w:space="0" w:color="auto"/>
              <w:right w:val="nil"/>
            </w:tcBorders>
            <w:shd w:val="clear" w:color="000000" w:fill="F2F2F2"/>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 </w:t>
            </w:r>
          </w:p>
        </w:tc>
        <w:tc>
          <w:tcPr>
            <w:tcW w:w="561" w:type="pct"/>
            <w:tcBorders>
              <w:top w:val="nil"/>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8"/>
                <w:szCs w:val="18"/>
              </w:rPr>
            </w:pPr>
            <w:proofErr w:type="spellStart"/>
            <w:r w:rsidRPr="00ED7F2E">
              <w:rPr>
                <w:rFonts w:ascii="Cambria" w:hAnsi="Cambria"/>
                <w:b/>
                <w:bCs/>
                <w:color w:val="000000"/>
                <w:sz w:val="18"/>
                <w:szCs w:val="18"/>
              </w:rPr>
              <w:t>Aum</w:t>
            </w:r>
            <w:proofErr w:type="spellEnd"/>
            <w:r w:rsidRPr="00ED7F2E">
              <w:rPr>
                <w:rFonts w:ascii="Cambria" w:hAnsi="Cambria"/>
                <w:b/>
                <w:bCs/>
                <w:color w:val="000000"/>
                <w:sz w:val="18"/>
                <w:szCs w:val="18"/>
              </w:rPr>
              <w:t>.</w:t>
            </w:r>
          </w:p>
        </w:tc>
        <w:tc>
          <w:tcPr>
            <w:tcW w:w="579" w:type="pct"/>
            <w:tcBorders>
              <w:top w:val="nil"/>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8"/>
                <w:szCs w:val="18"/>
              </w:rPr>
            </w:pPr>
            <w:proofErr w:type="spellStart"/>
            <w:r w:rsidRPr="00ED7F2E">
              <w:rPr>
                <w:rFonts w:ascii="Cambria" w:hAnsi="Cambria"/>
                <w:b/>
                <w:bCs/>
                <w:color w:val="000000"/>
                <w:sz w:val="18"/>
                <w:szCs w:val="18"/>
              </w:rPr>
              <w:t>Dism</w:t>
            </w:r>
            <w:proofErr w:type="spellEnd"/>
            <w:r w:rsidRPr="00ED7F2E">
              <w:rPr>
                <w:rFonts w:ascii="Cambria" w:hAnsi="Cambria"/>
                <w:b/>
                <w:bCs/>
                <w:color w:val="000000"/>
                <w:sz w:val="18"/>
                <w:szCs w:val="18"/>
              </w:rPr>
              <w:t>.</w:t>
            </w:r>
          </w:p>
        </w:tc>
        <w:tc>
          <w:tcPr>
            <w:tcW w:w="630" w:type="pct"/>
            <w:tcBorders>
              <w:top w:val="nil"/>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8"/>
                <w:szCs w:val="18"/>
              </w:rPr>
            </w:pPr>
            <w:proofErr w:type="spellStart"/>
            <w:r w:rsidRPr="00ED7F2E">
              <w:rPr>
                <w:rFonts w:ascii="Cambria" w:hAnsi="Cambria"/>
                <w:b/>
                <w:bCs/>
                <w:color w:val="000000"/>
                <w:sz w:val="18"/>
                <w:szCs w:val="18"/>
              </w:rPr>
              <w:t>Efec</w:t>
            </w:r>
            <w:proofErr w:type="spellEnd"/>
            <w:r w:rsidRPr="00ED7F2E">
              <w:rPr>
                <w:rFonts w:ascii="Cambria" w:hAnsi="Cambria"/>
                <w:b/>
                <w:bCs/>
                <w:color w:val="000000"/>
                <w:sz w:val="18"/>
                <w:szCs w:val="18"/>
              </w:rPr>
              <w:t xml:space="preserve"> Neto</w:t>
            </w:r>
          </w:p>
        </w:tc>
        <w:tc>
          <w:tcPr>
            <w:tcW w:w="645" w:type="pct"/>
            <w:tcBorders>
              <w:top w:val="nil"/>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8"/>
                <w:szCs w:val="18"/>
              </w:rPr>
            </w:pPr>
            <w:r w:rsidRPr="00ED7F2E">
              <w:rPr>
                <w:rFonts w:ascii="Cambria" w:hAnsi="Cambria"/>
                <w:b/>
                <w:bCs/>
                <w:color w:val="000000"/>
                <w:sz w:val="18"/>
                <w:szCs w:val="18"/>
              </w:rPr>
              <w:t>Aumentos</w:t>
            </w:r>
          </w:p>
        </w:tc>
        <w:tc>
          <w:tcPr>
            <w:tcW w:w="399" w:type="pct"/>
            <w:tcBorders>
              <w:top w:val="nil"/>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8"/>
                <w:szCs w:val="18"/>
              </w:rPr>
            </w:pPr>
            <w:proofErr w:type="spellStart"/>
            <w:r w:rsidRPr="00ED7F2E">
              <w:rPr>
                <w:rFonts w:ascii="Cambria" w:hAnsi="Cambria"/>
                <w:b/>
                <w:bCs/>
                <w:color w:val="000000"/>
                <w:sz w:val="18"/>
                <w:szCs w:val="18"/>
              </w:rPr>
              <w:t>Dism</w:t>
            </w:r>
            <w:proofErr w:type="spellEnd"/>
            <w:r w:rsidRPr="00ED7F2E">
              <w:rPr>
                <w:rFonts w:ascii="Cambria" w:hAnsi="Cambria"/>
                <w:b/>
                <w:bCs/>
                <w:color w:val="000000"/>
                <w:sz w:val="18"/>
                <w:szCs w:val="18"/>
              </w:rPr>
              <w:t>.</w:t>
            </w:r>
          </w:p>
        </w:tc>
        <w:tc>
          <w:tcPr>
            <w:tcW w:w="564" w:type="pct"/>
            <w:tcBorders>
              <w:top w:val="nil"/>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b/>
                <w:bCs/>
                <w:color w:val="000000"/>
                <w:sz w:val="18"/>
                <w:szCs w:val="18"/>
              </w:rPr>
            </w:pPr>
            <w:proofErr w:type="spellStart"/>
            <w:r w:rsidRPr="00ED7F2E">
              <w:rPr>
                <w:rFonts w:ascii="Cambria" w:hAnsi="Cambria"/>
                <w:b/>
                <w:bCs/>
                <w:color w:val="000000"/>
                <w:sz w:val="18"/>
                <w:szCs w:val="18"/>
              </w:rPr>
              <w:t>Efec</w:t>
            </w:r>
            <w:proofErr w:type="spellEnd"/>
            <w:r w:rsidRPr="00ED7F2E">
              <w:rPr>
                <w:rFonts w:ascii="Cambria" w:hAnsi="Cambria"/>
                <w:b/>
                <w:bCs/>
                <w:color w:val="000000"/>
                <w:sz w:val="18"/>
                <w:szCs w:val="18"/>
              </w:rPr>
              <w:t xml:space="preserve"> Neto</w:t>
            </w:r>
          </w:p>
        </w:tc>
      </w:tr>
      <w:tr w:rsidR="000B5AF8" w:rsidRPr="00ED7F2E" w:rsidTr="007F7DF5">
        <w:trPr>
          <w:trHeight w:hRule="exact" w:val="269"/>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Impuesto sobre Sociedades</w:t>
            </w:r>
          </w:p>
        </w:tc>
        <w:tc>
          <w:tcPr>
            <w:tcW w:w="561"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0,00</w:t>
            </w:r>
          </w:p>
        </w:tc>
        <w:tc>
          <w:tcPr>
            <w:tcW w:w="57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630"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0,00</w:t>
            </w:r>
          </w:p>
        </w:tc>
        <w:tc>
          <w:tcPr>
            <w:tcW w:w="645"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39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64"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r>
      <w:tr w:rsidR="000B5AF8" w:rsidRPr="00ED7F2E" w:rsidTr="007F7DF5">
        <w:trPr>
          <w:trHeight w:hRule="exact" w:val="269"/>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Diferencias permanentes</w:t>
            </w:r>
          </w:p>
        </w:tc>
        <w:tc>
          <w:tcPr>
            <w:tcW w:w="561"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24.449,98</w:t>
            </w:r>
          </w:p>
        </w:tc>
        <w:tc>
          <w:tcPr>
            <w:tcW w:w="57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630"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24.449,98</w:t>
            </w:r>
          </w:p>
        </w:tc>
        <w:tc>
          <w:tcPr>
            <w:tcW w:w="645"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39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64"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r>
      <w:tr w:rsidR="000B5AF8" w:rsidRPr="00ED7F2E" w:rsidTr="007F7DF5">
        <w:trPr>
          <w:trHeight w:hRule="exact" w:val="269"/>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Diferencias temporarias:</w:t>
            </w:r>
          </w:p>
        </w:tc>
        <w:tc>
          <w:tcPr>
            <w:tcW w:w="561"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79"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0,00</w:t>
            </w:r>
          </w:p>
        </w:tc>
        <w:tc>
          <w:tcPr>
            <w:tcW w:w="630"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0,00</w:t>
            </w:r>
          </w:p>
        </w:tc>
        <w:tc>
          <w:tcPr>
            <w:tcW w:w="645"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39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64"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r>
      <w:tr w:rsidR="000B5AF8" w:rsidRPr="00ED7F2E" w:rsidTr="007F7DF5">
        <w:trPr>
          <w:trHeight w:hRule="exact" w:val="269"/>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-con origen en el ejercicio</w:t>
            </w:r>
          </w:p>
        </w:tc>
        <w:tc>
          <w:tcPr>
            <w:tcW w:w="561"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7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630"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sidRPr="00ED7F2E">
              <w:rPr>
                <w:rFonts w:ascii="Cambria" w:hAnsi="Cambria"/>
                <w:color w:val="000000"/>
                <w:sz w:val="18"/>
                <w:szCs w:val="18"/>
              </w:rPr>
              <w:t>0,00</w:t>
            </w:r>
          </w:p>
        </w:tc>
        <w:tc>
          <w:tcPr>
            <w:tcW w:w="645"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39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64"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r>
      <w:tr w:rsidR="000B5AF8" w:rsidRPr="00ED7F2E" w:rsidTr="007F7DF5">
        <w:trPr>
          <w:trHeight w:hRule="exact" w:val="269"/>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 xml:space="preserve">-con origen en </w:t>
            </w:r>
            <w:proofErr w:type="spellStart"/>
            <w:r w:rsidRPr="00ED7F2E">
              <w:rPr>
                <w:rFonts w:ascii="Cambria" w:hAnsi="Cambria"/>
                <w:color w:val="000000"/>
                <w:sz w:val="16"/>
                <w:szCs w:val="16"/>
              </w:rPr>
              <w:t>ejer.anter</w:t>
            </w:r>
            <w:proofErr w:type="spellEnd"/>
            <w:r w:rsidRPr="00ED7F2E">
              <w:rPr>
                <w:rFonts w:ascii="Cambria" w:hAnsi="Cambria"/>
                <w:color w:val="000000"/>
                <w:sz w:val="16"/>
                <w:szCs w:val="16"/>
              </w:rPr>
              <w:t>.</w:t>
            </w:r>
          </w:p>
        </w:tc>
        <w:tc>
          <w:tcPr>
            <w:tcW w:w="561"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79"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0,00</w:t>
            </w:r>
          </w:p>
        </w:tc>
        <w:tc>
          <w:tcPr>
            <w:tcW w:w="630" w:type="pct"/>
            <w:tcBorders>
              <w:top w:val="nil"/>
              <w:left w:val="nil"/>
              <w:bottom w:val="nil"/>
              <w:right w:val="nil"/>
            </w:tcBorders>
            <w:shd w:val="clear" w:color="auto" w:fill="auto"/>
            <w:vAlign w:val="center"/>
            <w:hideMark/>
          </w:tcPr>
          <w:p w:rsidR="000B5AF8" w:rsidRPr="00ED7F2E" w:rsidRDefault="000B5AF8" w:rsidP="000B5AF8">
            <w:pPr>
              <w:jc w:val="right"/>
              <w:rPr>
                <w:rFonts w:ascii="Cambria" w:hAnsi="Cambria"/>
                <w:color w:val="000000"/>
                <w:sz w:val="18"/>
                <w:szCs w:val="18"/>
              </w:rPr>
            </w:pPr>
            <w:r>
              <w:rPr>
                <w:rFonts w:ascii="Cambria" w:hAnsi="Cambria"/>
                <w:color w:val="000000"/>
                <w:sz w:val="18"/>
                <w:szCs w:val="18"/>
              </w:rPr>
              <w:t>0,00</w:t>
            </w:r>
          </w:p>
        </w:tc>
        <w:tc>
          <w:tcPr>
            <w:tcW w:w="645"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399"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c>
          <w:tcPr>
            <w:tcW w:w="564" w:type="pct"/>
            <w:tcBorders>
              <w:top w:val="nil"/>
              <w:left w:val="nil"/>
              <w:bottom w:val="nil"/>
              <w:right w:val="nil"/>
            </w:tcBorders>
            <w:shd w:val="clear" w:color="auto" w:fill="auto"/>
            <w:vAlign w:val="center"/>
            <w:hideMark/>
          </w:tcPr>
          <w:p w:rsidR="000B5AF8" w:rsidRPr="00ED7F2E" w:rsidRDefault="000B5AF8" w:rsidP="000B5AF8">
            <w:pPr>
              <w:rPr>
                <w:rFonts w:ascii="Calibri" w:hAnsi="Calibri"/>
                <w:color w:val="000000"/>
                <w:sz w:val="22"/>
                <w:szCs w:val="22"/>
              </w:rPr>
            </w:pPr>
          </w:p>
        </w:tc>
      </w:tr>
      <w:tr w:rsidR="000B5AF8" w:rsidRPr="00ED7F2E" w:rsidTr="007F7DF5">
        <w:trPr>
          <w:trHeight w:hRule="exact" w:val="269"/>
          <w:jc w:val="right"/>
        </w:trPr>
        <w:tc>
          <w:tcPr>
            <w:tcW w:w="1622" w:type="pct"/>
            <w:tcBorders>
              <w:top w:val="nil"/>
              <w:left w:val="nil"/>
              <w:bottom w:val="nil"/>
              <w:right w:val="nil"/>
            </w:tcBorders>
            <w:shd w:val="clear" w:color="auto" w:fill="auto"/>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 xml:space="preserve">Compensación BI </w:t>
            </w:r>
            <w:proofErr w:type="spellStart"/>
            <w:r w:rsidRPr="00ED7F2E">
              <w:rPr>
                <w:rFonts w:ascii="Cambria" w:hAnsi="Cambria"/>
                <w:color w:val="000000"/>
                <w:sz w:val="16"/>
                <w:szCs w:val="16"/>
              </w:rPr>
              <w:t>negat.ejer.anter</w:t>
            </w:r>
            <w:proofErr w:type="spellEnd"/>
          </w:p>
        </w:tc>
        <w:tc>
          <w:tcPr>
            <w:tcW w:w="3378" w:type="pct"/>
            <w:gridSpan w:val="6"/>
            <w:tcBorders>
              <w:top w:val="nil"/>
              <w:left w:val="nil"/>
              <w:bottom w:val="single" w:sz="8" w:space="0" w:color="auto"/>
              <w:right w:val="nil"/>
            </w:tcBorders>
            <w:shd w:val="clear" w:color="auto" w:fill="auto"/>
            <w:vAlign w:val="center"/>
            <w:hideMark/>
          </w:tcPr>
          <w:p w:rsidR="000B5AF8" w:rsidRPr="00ED7F2E" w:rsidRDefault="000B5AF8" w:rsidP="000B5AF8">
            <w:pPr>
              <w:jc w:val="center"/>
              <w:rPr>
                <w:rFonts w:ascii="Cambria" w:hAnsi="Cambria"/>
                <w:color w:val="000000"/>
                <w:sz w:val="18"/>
                <w:szCs w:val="18"/>
              </w:rPr>
            </w:pPr>
            <w:r>
              <w:rPr>
                <w:rFonts w:ascii="Cambria" w:hAnsi="Cambria"/>
                <w:color w:val="000000"/>
                <w:sz w:val="18"/>
                <w:szCs w:val="18"/>
              </w:rPr>
              <w:t>-90.209,00</w:t>
            </w:r>
          </w:p>
        </w:tc>
      </w:tr>
      <w:tr w:rsidR="000B5AF8" w:rsidRPr="00ED7F2E" w:rsidTr="007F7DF5">
        <w:trPr>
          <w:trHeight w:val="299"/>
          <w:jc w:val="right"/>
        </w:trPr>
        <w:tc>
          <w:tcPr>
            <w:tcW w:w="1622" w:type="pct"/>
            <w:tcBorders>
              <w:top w:val="single" w:sz="8" w:space="0" w:color="auto"/>
              <w:left w:val="nil"/>
              <w:bottom w:val="single" w:sz="8" w:space="0" w:color="auto"/>
              <w:right w:val="nil"/>
            </w:tcBorders>
            <w:shd w:val="clear" w:color="000000" w:fill="F2F2F2"/>
            <w:vAlign w:val="center"/>
            <w:hideMark/>
          </w:tcPr>
          <w:p w:rsidR="000B5AF8" w:rsidRPr="00ED7F2E" w:rsidRDefault="000B5AF8" w:rsidP="000B5AF8">
            <w:pPr>
              <w:rPr>
                <w:rFonts w:ascii="Cambria" w:hAnsi="Cambria"/>
                <w:color w:val="000000"/>
                <w:sz w:val="16"/>
                <w:szCs w:val="16"/>
              </w:rPr>
            </w:pPr>
            <w:r w:rsidRPr="00ED7F2E">
              <w:rPr>
                <w:rFonts w:ascii="Cambria" w:hAnsi="Cambria"/>
                <w:color w:val="000000"/>
                <w:sz w:val="16"/>
                <w:szCs w:val="16"/>
              </w:rPr>
              <w:t>Base imponible (</w:t>
            </w:r>
            <w:proofErr w:type="spellStart"/>
            <w:r w:rsidRPr="00ED7F2E">
              <w:rPr>
                <w:rFonts w:ascii="Cambria" w:hAnsi="Cambria"/>
                <w:color w:val="000000"/>
                <w:sz w:val="16"/>
                <w:szCs w:val="16"/>
              </w:rPr>
              <w:t>rtdo</w:t>
            </w:r>
            <w:proofErr w:type="spellEnd"/>
            <w:r w:rsidRPr="00ED7F2E">
              <w:rPr>
                <w:rFonts w:ascii="Cambria" w:hAnsi="Cambria"/>
                <w:color w:val="000000"/>
                <w:sz w:val="16"/>
                <w:szCs w:val="16"/>
              </w:rPr>
              <w:t>. fiscal)</w:t>
            </w:r>
          </w:p>
        </w:tc>
        <w:tc>
          <w:tcPr>
            <w:tcW w:w="3378" w:type="pct"/>
            <w:gridSpan w:val="6"/>
            <w:tcBorders>
              <w:top w:val="single" w:sz="8" w:space="0" w:color="auto"/>
              <w:left w:val="nil"/>
              <w:bottom w:val="single" w:sz="8" w:space="0" w:color="auto"/>
              <w:right w:val="nil"/>
            </w:tcBorders>
            <w:shd w:val="clear" w:color="000000" w:fill="F2F2F2"/>
            <w:vAlign w:val="center"/>
            <w:hideMark/>
          </w:tcPr>
          <w:p w:rsidR="000B5AF8" w:rsidRPr="00ED7F2E" w:rsidRDefault="000B5AF8" w:rsidP="000B5AF8">
            <w:pPr>
              <w:jc w:val="center"/>
              <w:rPr>
                <w:rFonts w:ascii="Cambria" w:hAnsi="Cambria"/>
                <w:color w:val="000000"/>
                <w:sz w:val="18"/>
                <w:szCs w:val="18"/>
              </w:rPr>
            </w:pPr>
            <w:r>
              <w:rPr>
                <w:rFonts w:ascii="Cambria" w:hAnsi="Cambria"/>
                <w:color w:val="000000"/>
                <w:sz w:val="18"/>
                <w:szCs w:val="18"/>
              </w:rPr>
              <w:t>0,00</w:t>
            </w:r>
          </w:p>
        </w:tc>
      </w:tr>
    </w:tbl>
    <w:p w:rsidR="000B5AF8" w:rsidRDefault="000B5AF8" w:rsidP="000B5AF8">
      <w:pPr>
        <w:pStyle w:val="Default"/>
        <w:ind w:right="-284"/>
        <w:rPr>
          <w:rFonts w:asciiTheme="majorHAnsi" w:hAnsiTheme="majorHAnsi"/>
          <w:b/>
          <w:sz w:val="20"/>
          <w:szCs w:val="20"/>
          <w:highlight w:val="yellow"/>
          <w:u w:val="single"/>
        </w:rPr>
      </w:pPr>
    </w:p>
    <w:p w:rsidR="00205A13" w:rsidRPr="00997563" w:rsidRDefault="00205A13" w:rsidP="000B5AF8">
      <w:pPr>
        <w:pStyle w:val="Default"/>
        <w:ind w:right="-284"/>
        <w:rPr>
          <w:rFonts w:asciiTheme="majorHAnsi" w:hAnsiTheme="majorHAnsi"/>
          <w:b/>
          <w:sz w:val="20"/>
          <w:szCs w:val="20"/>
          <w:highlight w:val="yellow"/>
          <w:u w:val="single"/>
        </w:rPr>
      </w:pP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r w:rsidRPr="000B5AF8">
        <w:rPr>
          <w:rFonts w:ascii="Times New Roman" w:hAnsi="Times New Roman" w:cs="Times New Roman"/>
          <w:b/>
          <w:sz w:val="22"/>
          <w:szCs w:val="22"/>
          <w:u w:val="single"/>
        </w:rPr>
        <w:t>Detalle de las diferencias permanentes</w:t>
      </w:r>
    </w:p>
    <w:p w:rsidR="000B5AF8" w:rsidRPr="000B5AF8" w:rsidRDefault="000B5AF8" w:rsidP="000B5AF8">
      <w:pPr>
        <w:shd w:val="clear" w:color="auto" w:fill="FFFFFF"/>
        <w:ind w:firstLine="709"/>
        <w:jc w:val="both"/>
        <w:rPr>
          <w:rFonts w:ascii="Times New Roman" w:hAnsi="Times New Roman" w:cs="Times New Roman"/>
          <w:b/>
          <w:sz w:val="22"/>
          <w:szCs w:val="22"/>
          <w:u w:val="single"/>
        </w:rPr>
      </w:pP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0B5AF8">
        <w:rPr>
          <w:rFonts w:ascii="Times New Roman" w:hAnsi="Times New Roman" w:cs="Times New Roman"/>
          <w:spacing w:val="-3"/>
          <w:sz w:val="22"/>
          <w:szCs w:val="22"/>
          <w:lang w:val="es-ES_tradnl" w:eastAsia="es-ES_tradnl"/>
        </w:rPr>
        <w:t xml:space="preserve">El desglose de las  diferencias permanentes el siguiente: </w:t>
      </w: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9189" w:type="dxa"/>
        <w:jc w:val="right"/>
        <w:tblInd w:w="70" w:type="dxa"/>
        <w:tblCellMar>
          <w:left w:w="70" w:type="dxa"/>
          <w:right w:w="70" w:type="dxa"/>
        </w:tblCellMar>
        <w:tblLook w:val="04A0"/>
      </w:tblPr>
      <w:tblGrid>
        <w:gridCol w:w="4487"/>
        <w:gridCol w:w="981"/>
        <w:gridCol w:w="1370"/>
        <w:gridCol w:w="981"/>
        <w:gridCol w:w="1370"/>
      </w:tblGrid>
      <w:tr w:rsidR="000B5AF8" w:rsidRPr="00D2676F" w:rsidTr="007F7DF5">
        <w:trPr>
          <w:trHeight w:val="357"/>
          <w:jc w:val="right"/>
        </w:trPr>
        <w:tc>
          <w:tcPr>
            <w:tcW w:w="4689" w:type="dxa"/>
            <w:tcBorders>
              <w:top w:val="single" w:sz="8" w:space="0" w:color="auto"/>
              <w:left w:val="nil"/>
              <w:bottom w:val="single" w:sz="8" w:space="0" w:color="auto"/>
              <w:right w:val="nil"/>
            </w:tcBorders>
            <w:shd w:val="clear" w:color="000000" w:fill="F2F2F2"/>
            <w:vAlign w:val="center"/>
            <w:hideMark/>
          </w:tcPr>
          <w:p w:rsidR="000B5AF8" w:rsidRPr="00D2676F" w:rsidRDefault="000B5AF8" w:rsidP="000B5AF8">
            <w:pPr>
              <w:jc w:val="center"/>
              <w:rPr>
                <w:rFonts w:ascii="Cambria" w:hAnsi="Cambria" w:cs="Calibri"/>
                <w:b/>
                <w:bCs/>
                <w:color w:val="000000"/>
                <w:sz w:val="18"/>
                <w:szCs w:val="18"/>
              </w:rPr>
            </w:pPr>
            <w:r w:rsidRPr="00D2676F">
              <w:rPr>
                <w:rFonts w:ascii="Cambria" w:hAnsi="Cambria" w:cs="Calibri"/>
                <w:b/>
                <w:bCs/>
                <w:color w:val="000000"/>
                <w:sz w:val="18"/>
                <w:szCs w:val="18"/>
              </w:rPr>
              <w:t> </w:t>
            </w:r>
          </w:p>
        </w:tc>
        <w:tc>
          <w:tcPr>
            <w:tcW w:w="935" w:type="dxa"/>
            <w:tcBorders>
              <w:top w:val="single" w:sz="8" w:space="0" w:color="auto"/>
              <w:left w:val="nil"/>
              <w:bottom w:val="single" w:sz="8" w:space="0" w:color="auto"/>
              <w:right w:val="nil"/>
            </w:tcBorders>
            <w:shd w:val="clear" w:color="000000" w:fill="F2F2F2"/>
            <w:vAlign w:val="center"/>
            <w:hideMark/>
          </w:tcPr>
          <w:p w:rsidR="000B5AF8" w:rsidRPr="00D2676F" w:rsidRDefault="000B5AF8" w:rsidP="000B5AF8">
            <w:pPr>
              <w:jc w:val="center"/>
              <w:rPr>
                <w:rFonts w:ascii="Cambria" w:hAnsi="Cambria" w:cs="Calibri"/>
                <w:b/>
                <w:bCs/>
                <w:color w:val="000000"/>
                <w:sz w:val="18"/>
                <w:szCs w:val="18"/>
              </w:rPr>
            </w:pPr>
            <w:r w:rsidRPr="00D2676F">
              <w:rPr>
                <w:rFonts w:ascii="Cambria" w:hAnsi="Cambria" w:cs="Calibri"/>
                <w:b/>
                <w:bCs/>
                <w:color w:val="000000"/>
                <w:sz w:val="18"/>
                <w:szCs w:val="18"/>
              </w:rPr>
              <w:t xml:space="preserve">Aumentos </w:t>
            </w:r>
            <w:r>
              <w:rPr>
                <w:rFonts w:ascii="Cambria" w:hAnsi="Cambria" w:cs="Calibri"/>
                <w:b/>
                <w:bCs/>
                <w:color w:val="000000"/>
                <w:sz w:val="18"/>
                <w:szCs w:val="18"/>
              </w:rPr>
              <w:t>2020</w:t>
            </w:r>
          </w:p>
        </w:tc>
        <w:tc>
          <w:tcPr>
            <w:tcW w:w="1306" w:type="dxa"/>
            <w:tcBorders>
              <w:top w:val="single" w:sz="8" w:space="0" w:color="auto"/>
              <w:left w:val="nil"/>
              <w:bottom w:val="single" w:sz="8" w:space="0" w:color="auto"/>
              <w:right w:val="nil"/>
            </w:tcBorders>
            <w:shd w:val="clear" w:color="000000" w:fill="F2F2F2"/>
            <w:vAlign w:val="center"/>
            <w:hideMark/>
          </w:tcPr>
          <w:p w:rsidR="000B5AF8" w:rsidRPr="00D2676F" w:rsidRDefault="000B5AF8" w:rsidP="000B5AF8">
            <w:pPr>
              <w:jc w:val="center"/>
              <w:rPr>
                <w:rFonts w:ascii="Cambria" w:hAnsi="Cambria" w:cs="Calibri"/>
                <w:b/>
                <w:bCs/>
                <w:color w:val="000000"/>
                <w:sz w:val="18"/>
                <w:szCs w:val="18"/>
              </w:rPr>
            </w:pPr>
            <w:r w:rsidRPr="00D2676F">
              <w:rPr>
                <w:rFonts w:ascii="Cambria" w:hAnsi="Cambria" w:cs="Calibri"/>
                <w:b/>
                <w:bCs/>
                <w:color w:val="000000"/>
                <w:sz w:val="18"/>
                <w:szCs w:val="18"/>
              </w:rPr>
              <w:t xml:space="preserve">Disminuciones </w:t>
            </w:r>
            <w:r>
              <w:rPr>
                <w:rFonts w:ascii="Cambria" w:hAnsi="Cambria" w:cs="Calibri"/>
                <w:b/>
                <w:bCs/>
                <w:color w:val="000000"/>
                <w:sz w:val="18"/>
                <w:szCs w:val="18"/>
              </w:rPr>
              <w:t>2020</w:t>
            </w:r>
          </w:p>
        </w:tc>
        <w:tc>
          <w:tcPr>
            <w:tcW w:w="935" w:type="dxa"/>
            <w:tcBorders>
              <w:top w:val="single" w:sz="8" w:space="0" w:color="auto"/>
              <w:left w:val="nil"/>
              <w:bottom w:val="single" w:sz="8" w:space="0" w:color="auto"/>
              <w:right w:val="nil"/>
            </w:tcBorders>
            <w:shd w:val="clear" w:color="000000" w:fill="F2F2F2"/>
            <w:vAlign w:val="center"/>
            <w:hideMark/>
          </w:tcPr>
          <w:p w:rsidR="000B5AF8" w:rsidRPr="00D2676F" w:rsidRDefault="000B5AF8" w:rsidP="000B5AF8">
            <w:pPr>
              <w:jc w:val="center"/>
              <w:rPr>
                <w:rFonts w:ascii="Cambria" w:hAnsi="Cambria" w:cs="Calibri"/>
                <w:b/>
                <w:bCs/>
                <w:color w:val="000000"/>
                <w:sz w:val="18"/>
                <w:szCs w:val="18"/>
              </w:rPr>
            </w:pPr>
            <w:r w:rsidRPr="00D2676F">
              <w:rPr>
                <w:rFonts w:ascii="Cambria" w:hAnsi="Cambria" w:cs="Calibri"/>
                <w:b/>
                <w:bCs/>
                <w:color w:val="000000"/>
                <w:sz w:val="18"/>
                <w:szCs w:val="18"/>
              </w:rPr>
              <w:t xml:space="preserve">Aumentos </w:t>
            </w:r>
            <w:r>
              <w:rPr>
                <w:rFonts w:ascii="Cambria" w:hAnsi="Cambria" w:cs="Calibri"/>
                <w:b/>
                <w:bCs/>
                <w:color w:val="000000"/>
                <w:sz w:val="18"/>
                <w:szCs w:val="18"/>
              </w:rPr>
              <w:t>2019</w:t>
            </w:r>
          </w:p>
        </w:tc>
        <w:tc>
          <w:tcPr>
            <w:tcW w:w="1324" w:type="dxa"/>
            <w:tcBorders>
              <w:top w:val="single" w:sz="8" w:space="0" w:color="auto"/>
              <w:left w:val="nil"/>
              <w:bottom w:val="single" w:sz="8" w:space="0" w:color="auto"/>
              <w:right w:val="nil"/>
            </w:tcBorders>
            <w:shd w:val="clear" w:color="000000" w:fill="F2F2F2"/>
            <w:vAlign w:val="center"/>
            <w:hideMark/>
          </w:tcPr>
          <w:p w:rsidR="000B5AF8" w:rsidRPr="00D2676F" w:rsidRDefault="000B5AF8" w:rsidP="000B5AF8">
            <w:pPr>
              <w:jc w:val="center"/>
              <w:rPr>
                <w:rFonts w:ascii="Cambria" w:hAnsi="Cambria" w:cs="Calibri"/>
                <w:b/>
                <w:bCs/>
                <w:color w:val="000000"/>
                <w:sz w:val="18"/>
                <w:szCs w:val="18"/>
              </w:rPr>
            </w:pPr>
            <w:r w:rsidRPr="00D2676F">
              <w:rPr>
                <w:rFonts w:ascii="Cambria" w:hAnsi="Cambria" w:cs="Calibri"/>
                <w:b/>
                <w:bCs/>
                <w:color w:val="000000"/>
                <w:sz w:val="18"/>
                <w:szCs w:val="18"/>
              </w:rPr>
              <w:t xml:space="preserve">Disminuciones </w:t>
            </w:r>
            <w:r>
              <w:rPr>
                <w:rFonts w:ascii="Cambria" w:hAnsi="Cambria" w:cs="Calibri"/>
                <w:b/>
                <w:bCs/>
                <w:color w:val="000000"/>
                <w:sz w:val="18"/>
                <w:szCs w:val="18"/>
              </w:rPr>
              <w:t>2019</w:t>
            </w:r>
          </w:p>
        </w:tc>
      </w:tr>
      <w:tr w:rsidR="000B5AF8" w:rsidRPr="00D2676F" w:rsidTr="007F7DF5">
        <w:trPr>
          <w:trHeight w:hRule="exact" w:val="265"/>
          <w:jc w:val="right"/>
        </w:trPr>
        <w:tc>
          <w:tcPr>
            <w:tcW w:w="4689" w:type="dxa"/>
            <w:tcBorders>
              <w:top w:val="nil"/>
              <w:left w:val="nil"/>
              <w:bottom w:val="nil"/>
              <w:right w:val="nil"/>
            </w:tcBorders>
            <w:shd w:val="clear" w:color="auto" w:fill="auto"/>
            <w:vAlign w:val="center"/>
            <w:hideMark/>
          </w:tcPr>
          <w:p w:rsidR="000B5AF8" w:rsidRPr="00D2676F" w:rsidRDefault="000B5AF8" w:rsidP="000B5AF8">
            <w:pPr>
              <w:rPr>
                <w:rFonts w:ascii="Cambria" w:hAnsi="Cambria" w:cs="Calibri"/>
                <w:color w:val="000000"/>
                <w:sz w:val="18"/>
                <w:szCs w:val="18"/>
              </w:rPr>
            </w:pPr>
            <w:r w:rsidRPr="00D2676F">
              <w:rPr>
                <w:rFonts w:ascii="Cambria" w:hAnsi="Cambria" w:cs="Calibri"/>
                <w:color w:val="000000"/>
                <w:sz w:val="18"/>
                <w:szCs w:val="18"/>
              </w:rPr>
              <w:t>Otros gastos no deducibles</w:t>
            </w:r>
          </w:p>
        </w:tc>
        <w:tc>
          <w:tcPr>
            <w:tcW w:w="935" w:type="dxa"/>
            <w:tcBorders>
              <w:top w:val="nil"/>
              <w:left w:val="nil"/>
              <w:bottom w:val="nil"/>
              <w:right w:val="nil"/>
            </w:tcBorders>
            <w:shd w:val="clear" w:color="auto" w:fill="auto"/>
            <w:vAlign w:val="center"/>
            <w:hideMark/>
          </w:tcPr>
          <w:p w:rsidR="000B5AF8" w:rsidRPr="00D2676F" w:rsidRDefault="000B5AF8" w:rsidP="000B5AF8">
            <w:pPr>
              <w:jc w:val="right"/>
              <w:rPr>
                <w:rFonts w:ascii="Cambria" w:hAnsi="Cambria" w:cs="Calibri"/>
                <w:color w:val="000000"/>
                <w:sz w:val="18"/>
                <w:szCs w:val="18"/>
              </w:rPr>
            </w:pPr>
            <w:r>
              <w:rPr>
                <w:rFonts w:ascii="Cambria" w:hAnsi="Cambria" w:cs="Calibri"/>
                <w:color w:val="000000"/>
                <w:sz w:val="18"/>
                <w:szCs w:val="18"/>
              </w:rPr>
              <w:t>8.925,00</w:t>
            </w:r>
          </w:p>
        </w:tc>
        <w:tc>
          <w:tcPr>
            <w:tcW w:w="1306" w:type="dxa"/>
            <w:tcBorders>
              <w:top w:val="nil"/>
              <w:left w:val="nil"/>
              <w:bottom w:val="nil"/>
              <w:right w:val="nil"/>
            </w:tcBorders>
            <w:shd w:val="clear" w:color="auto" w:fill="auto"/>
            <w:vAlign w:val="center"/>
            <w:hideMark/>
          </w:tcPr>
          <w:p w:rsidR="000B5AF8" w:rsidRPr="00D2676F" w:rsidRDefault="000B5AF8" w:rsidP="000B5AF8">
            <w:pPr>
              <w:jc w:val="right"/>
              <w:rPr>
                <w:rFonts w:ascii="Cambria" w:hAnsi="Cambria" w:cs="Calibri"/>
                <w:color w:val="000000"/>
                <w:sz w:val="18"/>
                <w:szCs w:val="18"/>
              </w:rPr>
            </w:pPr>
            <w:r w:rsidRPr="00D2676F">
              <w:rPr>
                <w:rFonts w:ascii="Cambria" w:hAnsi="Cambria" w:cs="Calibri"/>
                <w:color w:val="000000"/>
                <w:sz w:val="18"/>
                <w:szCs w:val="18"/>
              </w:rPr>
              <w:t>0,00</w:t>
            </w:r>
          </w:p>
        </w:tc>
        <w:tc>
          <w:tcPr>
            <w:tcW w:w="935" w:type="dxa"/>
            <w:tcBorders>
              <w:top w:val="nil"/>
              <w:left w:val="nil"/>
              <w:bottom w:val="nil"/>
              <w:right w:val="nil"/>
            </w:tcBorders>
            <w:shd w:val="clear" w:color="auto" w:fill="auto"/>
            <w:vAlign w:val="center"/>
            <w:hideMark/>
          </w:tcPr>
          <w:p w:rsidR="000B5AF8" w:rsidRPr="00D2676F" w:rsidRDefault="000B5AF8" w:rsidP="000B5AF8">
            <w:pPr>
              <w:jc w:val="right"/>
              <w:rPr>
                <w:rFonts w:ascii="Cambria" w:hAnsi="Cambria" w:cs="Calibri"/>
                <w:color w:val="000000"/>
                <w:sz w:val="18"/>
                <w:szCs w:val="18"/>
              </w:rPr>
            </w:pPr>
            <w:r>
              <w:rPr>
                <w:rFonts w:ascii="Cambria" w:hAnsi="Cambria" w:cs="Calibri"/>
                <w:color w:val="000000"/>
                <w:sz w:val="18"/>
                <w:szCs w:val="18"/>
              </w:rPr>
              <w:t>24.449,98</w:t>
            </w:r>
          </w:p>
        </w:tc>
        <w:tc>
          <w:tcPr>
            <w:tcW w:w="1324" w:type="dxa"/>
            <w:tcBorders>
              <w:top w:val="nil"/>
              <w:left w:val="nil"/>
              <w:bottom w:val="nil"/>
              <w:right w:val="nil"/>
            </w:tcBorders>
            <w:shd w:val="clear" w:color="auto" w:fill="auto"/>
            <w:vAlign w:val="center"/>
            <w:hideMark/>
          </w:tcPr>
          <w:p w:rsidR="000B5AF8" w:rsidRPr="00D2676F" w:rsidRDefault="000B5AF8" w:rsidP="000B5AF8">
            <w:pPr>
              <w:jc w:val="right"/>
              <w:rPr>
                <w:rFonts w:ascii="Cambria" w:hAnsi="Cambria" w:cs="Calibri"/>
                <w:color w:val="000000"/>
                <w:sz w:val="18"/>
                <w:szCs w:val="18"/>
              </w:rPr>
            </w:pPr>
            <w:r w:rsidRPr="00D2676F">
              <w:rPr>
                <w:rFonts w:ascii="Cambria" w:hAnsi="Cambria" w:cs="Calibri"/>
                <w:color w:val="000000"/>
                <w:sz w:val="18"/>
                <w:szCs w:val="18"/>
              </w:rPr>
              <w:t>0,00</w:t>
            </w:r>
          </w:p>
        </w:tc>
      </w:tr>
      <w:tr w:rsidR="000B5AF8" w:rsidRPr="00D2676F" w:rsidTr="007F7DF5">
        <w:trPr>
          <w:trHeight w:hRule="exact" w:val="265"/>
          <w:jc w:val="right"/>
        </w:trPr>
        <w:tc>
          <w:tcPr>
            <w:tcW w:w="4689" w:type="dxa"/>
            <w:tcBorders>
              <w:top w:val="nil"/>
              <w:left w:val="nil"/>
              <w:bottom w:val="single" w:sz="8" w:space="0" w:color="auto"/>
              <w:right w:val="nil"/>
            </w:tcBorders>
            <w:shd w:val="clear" w:color="auto" w:fill="auto"/>
            <w:vAlign w:val="center"/>
            <w:hideMark/>
          </w:tcPr>
          <w:p w:rsidR="000B5AF8" w:rsidRPr="00D2676F" w:rsidRDefault="000B5AF8" w:rsidP="000B5AF8">
            <w:pPr>
              <w:rPr>
                <w:rFonts w:ascii="Cambria" w:hAnsi="Cambria" w:cs="Calibri"/>
                <w:b/>
                <w:bCs/>
                <w:color w:val="000000"/>
                <w:sz w:val="18"/>
                <w:szCs w:val="18"/>
              </w:rPr>
            </w:pPr>
            <w:r w:rsidRPr="00D2676F">
              <w:rPr>
                <w:rFonts w:ascii="Cambria" w:hAnsi="Cambria" w:cs="Calibri"/>
                <w:b/>
                <w:bCs/>
                <w:color w:val="000000"/>
                <w:sz w:val="18"/>
                <w:szCs w:val="18"/>
              </w:rPr>
              <w:t>T O T A L</w:t>
            </w:r>
          </w:p>
        </w:tc>
        <w:tc>
          <w:tcPr>
            <w:tcW w:w="935" w:type="dxa"/>
            <w:tcBorders>
              <w:top w:val="nil"/>
              <w:left w:val="nil"/>
              <w:bottom w:val="single" w:sz="8" w:space="0" w:color="auto"/>
              <w:right w:val="nil"/>
            </w:tcBorders>
            <w:shd w:val="clear" w:color="auto" w:fill="auto"/>
            <w:vAlign w:val="center"/>
            <w:hideMark/>
          </w:tcPr>
          <w:p w:rsidR="000B5AF8" w:rsidRPr="00D2676F" w:rsidRDefault="000B5AF8" w:rsidP="000B5AF8">
            <w:pPr>
              <w:jc w:val="right"/>
              <w:rPr>
                <w:rFonts w:ascii="Cambria" w:hAnsi="Cambria" w:cs="Calibri"/>
                <w:b/>
                <w:bCs/>
                <w:color w:val="000000"/>
                <w:sz w:val="18"/>
                <w:szCs w:val="18"/>
              </w:rPr>
            </w:pPr>
            <w:r>
              <w:rPr>
                <w:rFonts w:ascii="Cambria" w:hAnsi="Cambria" w:cs="Calibri"/>
                <w:b/>
                <w:bCs/>
                <w:color w:val="000000"/>
                <w:sz w:val="18"/>
                <w:szCs w:val="18"/>
              </w:rPr>
              <w:t>8.925,00</w:t>
            </w:r>
          </w:p>
        </w:tc>
        <w:tc>
          <w:tcPr>
            <w:tcW w:w="1306" w:type="dxa"/>
            <w:tcBorders>
              <w:top w:val="nil"/>
              <w:left w:val="nil"/>
              <w:bottom w:val="single" w:sz="8" w:space="0" w:color="auto"/>
              <w:right w:val="nil"/>
            </w:tcBorders>
            <w:shd w:val="clear" w:color="auto" w:fill="auto"/>
            <w:vAlign w:val="center"/>
            <w:hideMark/>
          </w:tcPr>
          <w:p w:rsidR="000B5AF8" w:rsidRPr="00D2676F" w:rsidRDefault="000B5AF8" w:rsidP="000B5AF8">
            <w:pPr>
              <w:jc w:val="right"/>
              <w:rPr>
                <w:rFonts w:ascii="Cambria" w:hAnsi="Cambria" w:cs="Calibri"/>
                <w:b/>
                <w:bCs/>
                <w:color w:val="000000"/>
                <w:sz w:val="18"/>
                <w:szCs w:val="18"/>
              </w:rPr>
            </w:pPr>
            <w:r w:rsidRPr="00D2676F">
              <w:rPr>
                <w:rFonts w:ascii="Cambria" w:hAnsi="Cambria" w:cs="Calibri"/>
                <w:b/>
                <w:bCs/>
                <w:color w:val="000000"/>
                <w:sz w:val="18"/>
                <w:szCs w:val="18"/>
              </w:rPr>
              <w:t>0,00</w:t>
            </w:r>
          </w:p>
        </w:tc>
        <w:tc>
          <w:tcPr>
            <w:tcW w:w="935" w:type="dxa"/>
            <w:tcBorders>
              <w:top w:val="nil"/>
              <w:left w:val="nil"/>
              <w:bottom w:val="single" w:sz="8" w:space="0" w:color="auto"/>
              <w:right w:val="nil"/>
            </w:tcBorders>
            <w:shd w:val="clear" w:color="auto" w:fill="auto"/>
            <w:vAlign w:val="center"/>
            <w:hideMark/>
          </w:tcPr>
          <w:p w:rsidR="000B5AF8" w:rsidRPr="00D2676F" w:rsidRDefault="000B5AF8" w:rsidP="000B5AF8">
            <w:pPr>
              <w:jc w:val="right"/>
              <w:rPr>
                <w:rFonts w:ascii="Cambria" w:hAnsi="Cambria" w:cs="Calibri"/>
                <w:b/>
                <w:bCs/>
                <w:color w:val="000000"/>
                <w:sz w:val="18"/>
                <w:szCs w:val="18"/>
              </w:rPr>
            </w:pPr>
            <w:r>
              <w:rPr>
                <w:rFonts w:ascii="Cambria" w:hAnsi="Cambria" w:cs="Calibri"/>
                <w:b/>
                <w:bCs/>
                <w:color w:val="000000"/>
                <w:sz w:val="18"/>
                <w:szCs w:val="18"/>
              </w:rPr>
              <w:t>24.449,98</w:t>
            </w:r>
          </w:p>
        </w:tc>
        <w:tc>
          <w:tcPr>
            <w:tcW w:w="1324" w:type="dxa"/>
            <w:tcBorders>
              <w:top w:val="nil"/>
              <w:left w:val="nil"/>
              <w:bottom w:val="single" w:sz="8" w:space="0" w:color="auto"/>
              <w:right w:val="nil"/>
            </w:tcBorders>
            <w:shd w:val="clear" w:color="auto" w:fill="auto"/>
            <w:vAlign w:val="center"/>
            <w:hideMark/>
          </w:tcPr>
          <w:p w:rsidR="000B5AF8" w:rsidRPr="00D2676F" w:rsidRDefault="000B5AF8" w:rsidP="000B5AF8">
            <w:pPr>
              <w:jc w:val="right"/>
              <w:rPr>
                <w:rFonts w:ascii="Cambria" w:hAnsi="Cambria" w:cs="Calibri"/>
                <w:b/>
                <w:bCs/>
                <w:color w:val="000000"/>
                <w:sz w:val="18"/>
                <w:szCs w:val="18"/>
              </w:rPr>
            </w:pPr>
            <w:r w:rsidRPr="00D2676F">
              <w:rPr>
                <w:rFonts w:ascii="Cambria" w:hAnsi="Cambria" w:cs="Calibri"/>
                <w:b/>
                <w:bCs/>
                <w:color w:val="000000"/>
                <w:sz w:val="18"/>
                <w:szCs w:val="18"/>
              </w:rPr>
              <w:t>0,00</w:t>
            </w:r>
          </w:p>
        </w:tc>
      </w:tr>
    </w:tbl>
    <w:p w:rsidR="000B5AF8" w:rsidRDefault="000B5AF8" w:rsidP="000B5AF8">
      <w:pPr>
        <w:spacing w:line="276" w:lineRule="auto"/>
        <w:jc w:val="both"/>
        <w:rPr>
          <w:rFonts w:asciiTheme="majorHAnsi" w:hAnsiTheme="majorHAnsi"/>
          <w:highlight w:val="yellow"/>
        </w:rPr>
      </w:pPr>
    </w:p>
    <w:p w:rsidR="000B5AF8" w:rsidRPr="00997563" w:rsidRDefault="000B5AF8" w:rsidP="000B5AF8">
      <w:pPr>
        <w:spacing w:line="276" w:lineRule="auto"/>
        <w:jc w:val="both"/>
        <w:rPr>
          <w:rFonts w:asciiTheme="majorHAnsi" w:hAnsiTheme="majorHAnsi"/>
          <w:highlight w:val="yellow"/>
        </w:rPr>
      </w:pPr>
    </w:p>
    <w:p w:rsidR="000B5AF8" w:rsidRPr="000B5AF8" w:rsidRDefault="000B5AF8" w:rsidP="000B5AF8">
      <w:pPr>
        <w:tabs>
          <w:tab w:val="left" w:pos="-720"/>
        </w:tabs>
        <w:suppressAutoHyphens/>
        <w:ind w:left="709" w:right="-26"/>
        <w:jc w:val="both"/>
        <w:rPr>
          <w:rFonts w:ascii="Times New Roman" w:hAnsi="Times New Roman" w:cs="Times New Roman"/>
          <w:b/>
          <w:spacing w:val="-3"/>
          <w:sz w:val="22"/>
          <w:szCs w:val="22"/>
          <w:u w:val="single"/>
          <w:lang w:val="es-ES_tradnl" w:eastAsia="es-ES_tradnl"/>
        </w:rPr>
      </w:pPr>
      <w:r w:rsidRPr="000B5AF8">
        <w:rPr>
          <w:rFonts w:ascii="Times New Roman" w:hAnsi="Times New Roman" w:cs="Times New Roman"/>
          <w:b/>
          <w:spacing w:val="-3"/>
          <w:sz w:val="22"/>
          <w:szCs w:val="22"/>
          <w:u w:val="single"/>
          <w:lang w:val="es-ES_tradnl" w:eastAsia="es-ES_tradnl"/>
        </w:rPr>
        <w:t>Detalle de las diferencias temporarias</w:t>
      </w: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0B5AF8">
        <w:rPr>
          <w:rFonts w:ascii="Times New Roman" w:hAnsi="Times New Roman" w:cs="Times New Roman"/>
          <w:spacing w:val="-3"/>
          <w:sz w:val="22"/>
          <w:szCs w:val="22"/>
          <w:lang w:val="es-ES_tradnl" w:eastAsia="es-ES_tradnl"/>
        </w:rPr>
        <w:t xml:space="preserve">No existen diferencias temporarias aplicadas en el presente ejercicio ni en el anterior. </w:t>
      </w:r>
    </w:p>
    <w:p w:rsidR="000B5AF8" w:rsidRPr="00997563" w:rsidRDefault="000B5AF8" w:rsidP="000B5AF8">
      <w:pPr>
        <w:pStyle w:val="Default"/>
        <w:ind w:right="49"/>
        <w:jc w:val="both"/>
        <w:rPr>
          <w:sz w:val="20"/>
          <w:szCs w:val="20"/>
          <w:highlight w:val="yellow"/>
        </w:rPr>
      </w:pPr>
    </w:p>
    <w:p w:rsidR="000B5AF8" w:rsidRPr="000B5AF8" w:rsidRDefault="000B5AF8" w:rsidP="000B5AF8">
      <w:pPr>
        <w:tabs>
          <w:tab w:val="left" w:pos="-720"/>
        </w:tabs>
        <w:suppressAutoHyphens/>
        <w:ind w:left="709" w:right="-26"/>
        <w:jc w:val="both"/>
        <w:rPr>
          <w:rFonts w:ascii="Times New Roman" w:hAnsi="Times New Roman" w:cs="Times New Roman"/>
          <w:b/>
          <w:spacing w:val="-3"/>
          <w:sz w:val="22"/>
          <w:szCs w:val="22"/>
          <w:u w:val="single"/>
          <w:lang w:val="es-ES_tradnl" w:eastAsia="es-ES_tradnl"/>
        </w:rPr>
      </w:pPr>
      <w:r w:rsidRPr="000B5AF8">
        <w:rPr>
          <w:rFonts w:ascii="Times New Roman" w:hAnsi="Times New Roman" w:cs="Times New Roman"/>
          <w:b/>
          <w:spacing w:val="-3"/>
          <w:sz w:val="22"/>
          <w:szCs w:val="22"/>
          <w:u w:val="single"/>
          <w:lang w:val="es-ES_tradnl" w:eastAsia="es-ES_tradnl"/>
        </w:rPr>
        <w:t xml:space="preserve">Desglose del gasto/ingreso por impuesto sobre beneficios </w:t>
      </w: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p w:rsidR="000B5AF8" w:rsidRP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0B5AF8">
        <w:rPr>
          <w:rFonts w:ascii="Times New Roman" w:hAnsi="Times New Roman" w:cs="Times New Roman"/>
          <w:spacing w:val="-3"/>
          <w:sz w:val="22"/>
          <w:szCs w:val="22"/>
          <w:lang w:val="es-ES_tradnl" w:eastAsia="es-ES_tradnl"/>
        </w:rPr>
        <w:t xml:space="preserve">El desglose del gasto / ingreso por impuesto sobre beneficios en el ejercicio </w:t>
      </w:r>
      <w:r w:rsidR="001423EC">
        <w:rPr>
          <w:rFonts w:ascii="Times New Roman" w:hAnsi="Times New Roman" w:cs="Times New Roman"/>
          <w:spacing w:val="-3"/>
          <w:sz w:val="22"/>
          <w:szCs w:val="22"/>
          <w:lang w:val="es-ES_tradnl" w:eastAsia="es-ES_tradnl"/>
        </w:rPr>
        <w:t>2020</w:t>
      </w:r>
      <w:r w:rsidRPr="000B5AF8">
        <w:rPr>
          <w:rFonts w:ascii="Times New Roman" w:hAnsi="Times New Roman" w:cs="Times New Roman"/>
          <w:spacing w:val="-3"/>
          <w:sz w:val="22"/>
          <w:szCs w:val="22"/>
          <w:lang w:val="es-ES_tradnl" w:eastAsia="es-ES_tradnl"/>
        </w:rPr>
        <w:t xml:space="preserve"> es el siguiente:</w:t>
      </w:r>
    </w:p>
    <w:p w:rsidR="000B5AF8" w:rsidRPr="00997563" w:rsidRDefault="000B5AF8" w:rsidP="001423EC">
      <w:pPr>
        <w:spacing w:line="276" w:lineRule="auto"/>
        <w:jc w:val="right"/>
        <w:rPr>
          <w:rFonts w:asciiTheme="majorHAnsi" w:hAnsiTheme="majorHAnsi"/>
          <w:highlight w:val="yellow"/>
        </w:rPr>
      </w:pPr>
    </w:p>
    <w:tbl>
      <w:tblPr>
        <w:tblW w:w="8402" w:type="dxa"/>
        <w:jc w:val="right"/>
        <w:tblInd w:w="55" w:type="dxa"/>
        <w:tblCellMar>
          <w:left w:w="70" w:type="dxa"/>
          <w:right w:w="70" w:type="dxa"/>
        </w:tblCellMar>
        <w:tblLook w:val="04A0"/>
      </w:tblPr>
      <w:tblGrid>
        <w:gridCol w:w="1338"/>
        <w:gridCol w:w="970"/>
        <w:gridCol w:w="1195"/>
        <w:gridCol w:w="1583"/>
        <w:gridCol w:w="937"/>
        <w:gridCol w:w="1384"/>
        <w:gridCol w:w="995"/>
      </w:tblGrid>
      <w:tr w:rsidR="000B5AF8" w:rsidRPr="009E53C6" w:rsidTr="007F7DF5">
        <w:trPr>
          <w:trHeight w:val="305"/>
          <w:jc w:val="right"/>
        </w:trPr>
        <w:tc>
          <w:tcPr>
            <w:tcW w:w="1346" w:type="dxa"/>
            <w:vMerge w:val="restart"/>
            <w:tcBorders>
              <w:top w:val="single" w:sz="8" w:space="0" w:color="auto"/>
              <w:left w:val="nil"/>
              <w:bottom w:val="single" w:sz="8" w:space="0" w:color="000000"/>
              <w:right w:val="single" w:sz="8" w:space="0" w:color="auto"/>
            </w:tcBorders>
            <w:shd w:val="clear" w:color="000000" w:fill="F2F2F2"/>
            <w:vAlign w:val="center"/>
            <w:hideMark/>
          </w:tcPr>
          <w:p w:rsidR="000B5AF8" w:rsidRPr="009E53C6" w:rsidRDefault="000B5AF8" w:rsidP="000B5AF8">
            <w:pPr>
              <w:rPr>
                <w:rFonts w:ascii="Cambria" w:hAnsi="Cambria" w:cs="Calibri"/>
                <w:color w:val="000000"/>
                <w:sz w:val="16"/>
                <w:szCs w:val="16"/>
              </w:rPr>
            </w:pPr>
            <w:r w:rsidRPr="009E53C6">
              <w:rPr>
                <w:rFonts w:ascii="Cambria" w:hAnsi="Cambria" w:cs="Calibri"/>
                <w:color w:val="000000"/>
                <w:sz w:val="16"/>
                <w:szCs w:val="16"/>
              </w:rPr>
              <w:t> </w:t>
            </w:r>
          </w:p>
        </w:tc>
        <w:tc>
          <w:tcPr>
            <w:tcW w:w="93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1.Impuesto Corriente</w:t>
            </w:r>
          </w:p>
        </w:tc>
        <w:tc>
          <w:tcPr>
            <w:tcW w:w="5127" w:type="dxa"/>
            <w:gridSpan w:val="4"/>
            <w:tcBorders>
              <w:top w:val="single" w:sz="8" w:space="0" w:color="auto"/>
              <w:left w:val="nil"/>
              <w:bottom w:val="single" w:sz="8" w:space="0" w:color="auto"/>
              <w:right w:val="single" w:sz="8" w:space="0" w:color="000000"/>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2.Variación del impuesto diferido</w:t>
            </w:r>
          </w:p>
        </w:tc>
        <w:tc>
          <w:tcPr>
            <w:tcW w:w="996" w:type="dxa"/>
            <w:vMerge w:val="restart"/>
            <w:tcBorders>
              <w:top w:val="single" w:sz="8" w:space="0" w:color="auto"/>
              <w:left w:val="single" w:sz="8" w:space="0" w:color="auto"/>
              <w:bottom w:val="single" w:sz="8" w:space="0" w:color="000000"/>
              <w:right w:val="nil"/>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3. TOTAL (1+2)</w:t>
            </w:r>
          </w:p>
        </w:tc>
      </w:tr>
      <w:tr w:rsidR="000B5AF8" w:rsidRPr="009E53C6" w:rsidTr="007F7DF5">
        <w:trPr>
          <w:trHeight w:val="593"/>
          <w:jc w:val="right"/>
        </w:trPr>
        <w:tc>
          <w:tcPr>
            <w:tcW w:w="1346" w:type="dxa"/>
            <w:vMerge/>
            <w:tcBorders>
              <w:top w:val="single" w:sz="8" w:space="0" w:color="auto"/>
              <w:left w:val="nil"/>
              <w:bottom w:val="single" w:sz="8" w:space="0" w:color="000000"/>
              <w:right w:val="single" w:sz="8" w:space="0" w:color="auto"/>
            </w:tcBorders>
            <w:vAlign w:val="center"/>
            <w:hideMark/>
          </w:tcPr>
          <w:p w:rsidR="000B5AF8" w:rsidRPr="009E53C6" w:rsidRDefault="000B5AF8" w:rsidP="000B5AF8">
            <w:pPr>
              <w:rPr>
                <w:rFonts w:ascii="Cambria" w:hAnsi="Cambria" w:cs="Calibri"/>
                <w:color w:val="000000"/>
                <w:sz w:val="16"/>
                <w:szCs w:val="16"/>
              </w:rPr>
            </w:pPr>
          </w:p>
        </w:tc>
        <w:tc>
          <w:tcPr>
            <w:tcW w:w="932" w:type="dxa"/>
            <w:vMerge/>
            <w:tcBorders>
              <w:top w:val="single" w:sz="8" w:space="0" w:color="auto"/>
              <w:left w:val="single" w:sz="8" w:space="0" w:color="auto"/>
              <w:bottom w:val="single" w:sz="8" w:space="0" w:color="000000"/>
              <w:right w:val="single" w:sz="8" w:space="0" w:color="auto"/>
            </w:tcBorders>
            <w:vAlign w:val="center"/>
            <w:hideMark/>
          </w:tcPr>
          <w:p w:rsidR="000B5AF8" w:rsidRPr="009E53C6" w:rsidRDefault="000B5AF8" w:rsidP="000B5AF8">
            <w:pPr>
              <w:rPr>
                <w:rFonts w:ascii="Cambria" w:hAnsi="Cambria" w:cs="Calibri"/>
                <w:b/>
                <w:bCs/>
                <w:color w:val="000000"/>
                <w:sz w:val="16"/>
                <w:szCs w:val="16"/>
              </w:rPr>
            </w:pPr>
          </w:p>
        </w:tc>
        <w:tc>
          <w:tcPr>
            <w:tcW w:w="3736" w:type="dxa"/>
            <w:gridSpan w:val="3"/>
            <w:tcBorders>
              <w:top w:val="single" w:sz="8" w:space="0" w:color="auto"/>
              <w:left w:val="nil"/>
              <w:bottom w:val="single" w:sz="8" w:space="0" w:color="auto"/>
              <w:right w:val="single" w:sz="8" w:space="0" w:color="000000"/>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a)Variación del impuesto diferido activo</w:t>
            </w:r>
          </w:p>
        </w:tc>
        <w:tc>
          <w:tcPr>
            <w:tcW w:w="1392" w:type="dxa"/>
            <w:tcBorders>
              <w:top w:val="nil"/>
              <w:left w:val="nil"/>
              <w:bottom w:val="single" w:sz="8" w:space="0" w:color="auto"/>
              <w:right w:val="single" w:sz="8" w:space="0" w:color="auto"/>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b)Variación del impuesto diferido de pasivo</w:t>
            </w:r>
          </w:p>
        </w:tc>
        <w:tc>
          <w:tcPr>
            <w:tcW w:w="996" w:type="dxa"/>
            <w:vMerge/>
            <w:tcBorders>
              <w:top w:val="single" w:sz="8" w:space="0" w:color="auto"/>
              <w:left w:val="single" w:sz="8" w:space="0" w:color="auto"/>
              <w:bottom w:val="single" w:sz="8" w:space="0" w:color="000000"/>
              <w:right w:val="nil"/>
            </w:tcBorders>
            <w:vAlign w:val="center"/>
            <w:hideMark/>
          </w:tcPr>
          <w:p w:rsidR="000B5AF8" w:rsidRPr="009E53C6" w:rsidRDefault="000B5AF8" w:rsidP="000B5AF8">
            <w:pPr>
              <w:rPr>
                <w:rFonts w:ascii="Cambria" w:hAnsi="Cambria" w:cs="Calibri"/>
                <w:b/>
                <w:bCs/>
                <w:color w:val="000000"/>
                <w:sz w:val="16"/>
                <w:szCs w:val="16"/>
              </w:rPr>
            </w:pPr>
          </w:p>
        </w:tc>
      </w:tr>
      <w:tr w:rsidR="000B5AF8" w:rsidRPr="009E53C6" w:rsidTr="007F7DF5">
        <w:trPr>
          <w:trHeight w:val="671"/>
          <w:jc w:val="right"/>
        </w:trPr>
        <w:tc>
          <w:tcPr>
            <w:tcW w:w="1346" w:type="dxa"/>
            <w:vMerge/>
            <w:tcBorders>
              <w:top w:val="single" w:sz="8" w:space="0" w:color="auto"/>
              <w:left w:val="nil"/>
              <w:bottom w:val="single" w:sz="8" w:space="0" w:color="000000"/>
              <w:right w:val="single" w:sz="8" w:space="0" w:color="auto"/>
            </w:tcBorders>
            <w:vAlign w:val="center"/>
            <w:hideMark/>
          </w:tcPr>
          <w:p w:rsidR="000B5AF8" w:rsidRPr="009E53C6" w:rsidRDefault="000B5AF8" w:rsidP="000B5AF8">
            <w:pPr>
              <w:rPr>
                <w:rFonts w:ascii="Cambria" w:hAnsi="Cambria" w:cs="Calibri"/>
                <w:color w:val="000000"/>
                <w:sz w:val="16"/>
                <w:szCs w:val="16"/>
              </w:rPr>
            </w:pPr>
          </w:p>
        </w:tc>
        <w:tc>
          <w:tcPr>
            <w:tcW w:w="932" w:type="dxa"/>
            <w:vMerge/>
            <w:tcBorders>
              <w:top w:val="single" w:sz="8" w:space="0" w:color="auto"/>
              <w:left w:val="single" w:sz="8" w:space="0" w:color="auto"/>
              <w:bottom w:val="single" w:sz="8" w:space="0" w:color="000000"/>
              <w:right w:val="single" w:sz="8" w:space="0" w:color="auto"/>
            </w:tcBorders>
            <w:vAlign w:val="center"/>
            <w:hideMark/>
          </w:tcPr>
          <w:p w:rsidR="000B5AF8" w:rsidRPr="009E53C6" w:rsidRDefault="000B5AF8" w:rsidP="000B5AF8">
            <w:pPr>
              <w:rPr>
                <w:rFonts w:ascii="Cambria" w:hAnsi="Cambria" w:cs="Calibri"/>
                <w:b/>
                <w:bCs/>
                <w:color w:val="000000"/>
                <w:sz w:val="16"/>
                <w:szCs w:val="16"/>
              </w:rPr>
            </w:pPr>
          </w:p>
        </w:tc>
        <w:tc>
          <w:tcPr>
            <w:tcW w:w="1198" w:type="dxa"/>
            <w:tcBorders>
              <w:top w:val="nil"/>
              <w:left w:val="nil"/>
              <w:bottom w:val="single" w:sz="8" w:space="0" w:color="auto"/>
              <w:right w:val="single" w:sz="8" w:space="0" w:color="auto"/>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Diferencias temporarias</w:t>
            </w:r>
          </w:p>
        </w:tc>
        <w:tc>
          <w:tcPr>
            <w:tcW w:w="1597" w:type="dxa"/>
            <w:tcBorders>
              <w:top w:val="nil"/>
              <w:left w:val="nil"/>
              <w:bottom w:val="single" w:sz="8" w:space="0" w:color="auto"/>
              <w:right w:val="single" w:sz="8" w:space="0" w:color="auto"/>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Crédito impositivo por bases imponibles negativas</w:t>
            </w:r>
          </w:p>
        </w:tc>
        <w:tc>
          <w:tcPr>
            <w:tcW w:w="940" w:type="dxa"/>
            <w:tcBorders>
              <w:top w:val="nil"/>
              <w:left w:val="nil"/>
              <w:bottom w:val="single" w:sz="8" w:space="0" w:color="auto"/>
              <w:right w:val="single" w:sz="8" w:space="0" w:color="auto"/>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Otros créditos</w:t>
            </w:r>
          </w:p>
        </w:tc>
        <w:tc>
          <w:tcPr>
            <w:tcW w:w="1392" w:type="dxa"/>
            <w:tcBorders>
              <w:top w:val="nil"/>
              <w:left w:val="nil"/>
              <w:bottom w:val="single" w:sz="8" w:space="0" w:color="auto"/>
              <w:right w:val="single" w:sz="8" w:space="0" w:color="auto"/>
            </w:tcBorders>
            <w:shd w:val="clear" w:color="000000" w:fill="F2F2F2"/>
            <w:vAlign w:val="center"/>
            <w:hideMark/>
          </w:tcPr>
          <w:p w:rsidR="000B5AF8" w:rsidRPr="009E53C6" w:rsidRDefault="000B5AF8" w:rsidP="000B5AF8">
            <w:pPr>
              <w:jc w:val="center"/>
              <w:rPr>
                <w:rFonts w:ascii="Cambria" w:hAnsi="Cambria" w:cs="Calibri"/>
                <w:b/>
                <w:bCs/>
                <w:color w:val="000000"/>
                <w:sz w:val="16"/>
                <w:szCs w:val="16"/>
              </w:rPr>
            </w:pPr>
            <w:r w:rsidRPr="009E53C6">
              <w:rPr>
                <w:rFonts w:ascii="Cambria" w:hAnsi="Cambria" w:cs="Calibri"/>
                <w:b/>
                <w:bCs/>
                <w:color w:val="000000"/>
                <w:sz w:val="16"/>
                <w:szCs w:val="16"/>
              </w:rPr>
              <w:t>Diferencias temporarias</w:t>
            </w:r>
          </w:p>
        </w:tc>
        <w:tc>
          <w:tcPr>
            <w:tcW w:w="996" w:type="dxa"/>
            <w:vMerge/>
            <w:tcBorders>
              <w:top w:val="single" w:sz="8" w:space="0" w:color="auto"/>
              <w:left w:val="single" w:sz="8" w:space="0" w:color="auto"/>
              <w:bottom w:val="single" w:sz="8" w:space="0" w:color="000000"/>
              <w:right w:val="nil"/>
            </w:tcBorders>
            <w:vAlign w:val="center"/>
            <w:hideMark/>
          </w:tcPr>
          <w:p w:rsidR="000B5AF8" w:rsidRPr="009E53C6" w:rsidRDefault="000B5AF8" w:rsidP="000B5AF8">
            <w:pPr>
              <w:rPr>
                <w:rFonts w:ascii="Cambria" w:hAnsi="Cambria" w:cs="Calibri"/>
                <w:b/>
                <w:bCs/>
                <w:color w:val="000000"/>
                <w:sz w:val="16"/>
                <w:szCs w:val="16"/>
              </w:rPr>
            </w:pPr>
          </w:p>
        </w:tc>
      </w:tr>
      <w:tr w:rsidR="000B5AF8" w:rsidRPr="009E53C6" w:rsidTr="007F7DF5">
        <w:trPr>
          <w:trHeight w:val="290"/>
          <w:jc w:val="right"/>
        </w:trPr>
        <w:tc>
          <w:tcPr>
            <w:tcW w:w="1346" w:type="dxa"/>
            <w:tcBorders>
              <w:top w:val="nil"/>
              <w:left w:val="nil"/>
              <w:right w:val="nil"/>
            </w:tcBorders>
            <w:shd w:val="clear" w:color="auto" w:fill="auto"/>
            <w:vAlign w:val="center"/>
            <w:hideMark/>
          </w:tcPr>
          <w:p w:rsidR="000B5AF8" w:rsidRPr="009E53C6" w:rsidRDefault="000B5AF8" w:rsidP="000B5AF8">
            <w:pPr>
              <w:rPr>
                <w:rFonts w:ascii="Cambria" w:hAnsi="Cambria" w:cs="Calibri"/>
                <w:b/>
                <w:bCs/>
                <w:color w:val="000000"/>
                <w:sz w:val="16"/>
                <w:szCs w:val="16"/>
              </w:rPr>
            </w:pPr>
            <w:r w:rsidRPr="009E53C6">
              <w:rPr>
                <w:rFonts w:ascii="Cambria" w:hAnsi="Cambria" w:cs="Calibri"/>
                <w:b/>
                <w:bCs/>
                <w:color w:val="000000"/>
                <w:sz w:val="16"/>
                <w:szCs w:val="16"/>
              </w:rPr>
              <w:t xml:space="preserve">Imputación a </w:t>
            </w:r>
            <w:proofErr w:type="spellStart"/>
            <w:r w:rsidRPr="009E53C6">
              <w:rPr>
                <w:rFonts w:ascii="Cambria" w:hAnsi="Cambria" w:cs="Calibri"/>
                <w:b/>
                <w:bCs/>
                <w:color w:val="000000"/>
                <w:sz w:val="16"/>
                <w:szCs w:val="16"/>
              </w:rPr>
              <w:t>PyG</w:t>
            </w:r>
            <w:proofErr w:type="spellEnd"/>
            <w:r w:rsidRPr="009E53C6">
              <w:rPr>
                <w:rFonts w:ascii="Cambria" w:hAnsi="Cambria" w:cs="Calibri"/>
                <w:b/>
                <w:bCs/>
                <w:color w:val="000000"/>
                <w:sz w:val="16"/>
                <w:szCs w:val="16"/>
              </w:rPr>
              <w:t>, de la cual:</w:t>
            </w:r>
          </w:p>
        </w:tc>
        <w:tc>
          <w:tcPr>
            <w:tcW w:w="932" w:type="dxa"/>
            <w:tcBorders>
              <w:top w:val="nil"/>
              <w:left w:val="nil"/>
              <w:right w:val="nil"/>
            </w:tcBorders>
            <w:shd w:val="clear" w:color="auto" w:fill="auto"/>
            <w:vAlign w:val="center"/>
            <w:hideMark/>
          </w:tcPr>
          <w:p w:rsidR="000B5AF8" w:rsidRPr="009E53C6" w:rsidRDefault="000B5AF8" w:rsidP="000B5AF8">
            <w:pPr>
              <w:jc w:val="center"/>
              <w:rPr>
                <w:rFonts w:ascii="Cambria" w:hAnsi="Cambria" w:cs="Calibri"/>
                <w:b/>
                <w:bCs/>
                <w:color w:val="000000"/>
                <w:sz w:val="18"/>
                <w:szCs w:val="18"/>
              </w:rPr>
            </w:pPr>
            <w:r w:rsidRPr="009E53C6">
              <w:rPr>
                <w:rFonts w:ascii="Cambria" w:hAnsi="Cambria" w:cs="Calibri"/>
                <w:b/>
                <w:bCs/>
                <w:color w:val="000000"/>
                <w:sz w:val="18"/>
                <w:szCs w:val="18"/>
              </w:rPr>
              <w:t>0,00</w:t>
            </w:r>
          </w:p>
        </w:tc>
        <w:tc>
          <w:tcPr>
            <w:tcW w:w="1198" w:type="dxa"/>
            <w:tcBorders>
              <w:top w:val="nil"/>
              <w:left w:val="nil"/>
              <w:right w:val="nil"/>
            </w:tcBorders>
            <w:shd w:val="clear" w:color="auto" w:fill="auto"/>
            <w:vAlign w:val="center"/>
            <w:hideMark/>
          </w:tcPr>
          <w:p w:rsidR="000B5AF8" w:rsidRPr="00D2676F" w:rsidRDefault="001423EC" w:rsidP="000B5AF8">
            <w:pPr>
              <w:jc w:val="center"/>
              <w:rPr>
                <w:rFonts w:ascii="Cambria" w:hAnsi="Cambria" w:cs="Calibri"/>
                <w:b/>
                <w:bCs/>
                <w:color w:val="000000"/>
                <w:sz w:val="18"/>
                <w:szCs w:val="18"/>
              </w:rPr>
            </w:pPr>
            <w:r>
              <w:rPr>
                <w:rFonts w:ascii="Cambria" w:hAnsi="Cambria" w:cs="Calibri"/>
                <w:b/>
                <w:color w:val="000000"/>
                <w:sz w:val="18"/>
                <w:szCs w:val="18"/>
              </w:rPr>
              <w:t>0,00</w:t>
            </w:r>
          </w:p>
        </w:tc>
        <w:tc>
          <w:tcPr>
            <w:tcW w:w="1597" w:type="dxa"/>
            <w:tcBorders>
              <w:top w:val="nil"/>
              <w:left w:val="nil"/>
              <w:right w:val="nil"/>
            </w:tcBorders>
            <w:shd w:val="clear" w:color="auto" w:fill="auto"/>
            <w:vAlign w:val="center"/>
            <w:hideMark/>
          </w:tcPr>
          <w:p w:rsidR="000B5AF8" w:rsidRPr="009E53C6" w:rsidRDefault="001423EC" w:rsidP="000B5AF8">
            <w:pPr>
              <w:jc w:val="center"/>
              <w:rPr>
                <w:rFonts w:ascii="Cambria" w:hAnsi="Cambria" w:cs="Calibri"/>
                <w:b/>
                <w:bCs/>
                <w:color w:val="000000"/>
                <w:sz w:val="18"/>
                <w:szCs w:val="18"/>
              </w:rPr>
            </w:pPr>
            <w:r>
              <w:rPr>
                <w:rFonts w:ascii="Cambria" w:hAnsi="Cambria" w:cs="Calibri"/>
                <w:b/>
                <w:bCs/>
                <w:color w:val="000000"/>
                <w:sz w:val="18"/>
                <w:szCs w:val="18"/>
              </w:rPr>
              <w:t>-89.117,31</w:t>
            </w:r>
          </w:p>
        </w:tc>
        <w:tc>
          <w:tcPr>
            <w:tcW w:w="940" w:type="dxa"/>
            <w:tcBorders>
              <w:top w:val="nil"/>
              <w:left w:val="nil"/>
              <w:right w:val="nil"/>
            </w:tcBorders>
            <w:shd w:val="clear" w:color="auto" w:fill="auto"/>
            <w:vAlign w:val="center"/>
            <w:hideMark/>
          </w:tcPr>
          <w:p w:rsidR="000B5AF8" w:rsidRPr="009E53C6" w:rsidRDefault="000B5AF8" w:rsidP="000B5AF8">
            <w:pPr>
              <w:jc w:val="center"/>
              <w:rPr>
                <w:rFonts w:ascii="Cambria" w:hAnsi="Cambria" w:cs="Calibri"/>
                <w:b/>
                <w:bCs/>
                <w:color w:val="000000"/>
                <w:sz w:val="18"/>
                <w:szCs w:val="18"/>
              </w:rPr>
            </w:pPr>
            <w:r w:rsidRPr="009E53C6">
              <w:rPr>
                <w:rFonts w:ascii="Cambria" w:hAnsi="Cambria" w:cs="Calibri"/>
                <w:b/>
                <w:bCs/>
                <w:color w:val="000000"/>
                <w:sz w:val="18"/>
                <w:szCs w:val="18"/>
              </w:rPr>
              <w:t>0,00</w:t>
            </w:r>
          </w:p>
        </w:tc>
        <w:tc>
          <w:tcPr>
            <w:tcW w:w="1392" w:type="dxa"/>
            <w:tcBorders>
              <w:top w:val="nil"/>
              <w:left w:val="nil"/>
              <w:right w:val="nil"/>
            </w:tcBorders>
            <w:shd w:val="clear" w:color="auto" w:fill="auto"/>
            <w:vAlign w:val="center"/>
            <w:hideMark/>
          </w:tcPr>
          <w:p w:rsidR="000B5AF8" w:rsidRPr="009E53C6" w:rsidRDefault="000B5AF8" w:rsidP="000B5AF8">
            <w:pPr>
              <w:jc w:val="center"/>
              <w:rPr>
                <w:rFonts w:ascii="Cambria" w:hAnsi="Cambria" w:cs="Calibri"/>
                <w:b/>
                <w:bCs/>
                <w:color w:val="000000"/>
                <w:sz w:val="18"/>
                <w:szCs w:val="18"/>
              </w:rPr>
            </w:pPr>
            <w:r w:rsidRPr="009E53C6">
              <w:rPr>
                <w:rFonts w:ascii="Cambria" w:hAnsi="Cambria" w:cs="Calibri"/>
                <w:b/>
                <w:bCs/>
                <w:color w:val="000000"/>
                <w:sz w:val="18"/>
                <w:szCs w:val="18"/>
              </w:rPr>
              <w:t>0,00</w:t>
            </w:r>
          </w:p>
        </w:tc>
        <w:tc>
          <w:tcPr>
            <w:tcW w:w="996" w:type="dxa"/>
            <w:tcBorders>
              <w:top w:val="nil"/>
              <w:left w:val="nil"/>
              <w:right w:val="nil"/>
            </w:tcBorders>
            <w:shd w:val="clear" w:color="auto" w:fill="auto"/>
            <w:vAlign w:val="center"/>
            <w:hideMark/>
          </w:tcPr>
          <w:p w:rsidR="000B5AF8" w:rsidRPr="009E53C6" w:rsidRDefault="001423EC" w:rsidP="000B5AF8">
            <w:pPr>
              <w:jc w:val="center"/>
              <w:rPr>
                <w:rFonts w:ascii="Cambria" w:hAnsi="Cambria" w:cs="Calibri"/>
                <w:b/>
                <w:bCs/>
                <w:color w:val="000000"/>
                <w:sz w:val="18"/>
                <w:szCs w:val="18"/>
              </w:rPr>
            </w:pPr>
            <w:r>
              <w:rPr>
                <w:rFonts w:ascii="Cambria" w:hAnsi="Cambria" w:cs="Calibri"/>
                <w:b/>
                <w:color w:val="000000"/>
                <w:sz w:val="18"/>
                <w:szCs w:val="18"/>
              </w:rPr>
              <w:t>-89.117,31</w:t>
            </w:r>
          </w:p>
        </w:tc>
      </w:tr>
      <w:tr w:rsidR="000B5AF8" w:rsidRPr="009E53C6" w:rsidTr="007F7DF5">
        <w:trPr>
          <w:trHeight w:val="290"/>
          <w:jc w:val="right"/>
        </w:trPr>
        <w:tc>
          <w:tcPr>
            <w:tcW w:w="1346" w:type="dxa"/>
            <w:tcBorders>
              <w:top w:val="nil"/>
              <w:left w:val="nil"/>
              <w:bottom w:val="single" w:sz="8" w:space="0" w:color="auto"/>
              <w:right w:val="nil"/>
            </w:tcBorders>
            <w:shd w:val="clear" w:color="auto" w:fill="auto"/>
            <w:vAlign w:val="center"/>
            <w:hideMark/>
          </w:tcPr>
          <w:p w:rsidR="000B5AF8" w:rsidRPr="009E53C6" w:rsidRDefault="000B5AF8" w:rsidP="000B5AF8">
            <w:pPr>
              <w:rPr>
                <w:rFonts w:ascii="Cambria" w:hAnsi="Cambria" w:cs="Calibri"/>
                <w:color w:val="000000"/>
                <w:sz w:val="16"/>
                <w:szCs w:val="16"/>
              </w:rPr>
            </w:pPr>
            <w:r w:rsidRPr="009E53C6">
              <w:rPr>
                <w:rFonts w:ascii="Cambria" w:hAnsi="Cambria" w:cs="Calibri"/>
                <w:color w:val="000000"/>
                <w:sz w:val="16"/>
                <w:szCs w:val="16"/>
              </w:rPr>
              <w:t>-A operaciones continuadas</w:t>
            </w:r>
          </w:p>
        </w:tc>
        <w:tc>
          <w:tcPr>
            <w:tcW w:w="932" w:type="dxa"/>
            <w:tcBorders>
              <w:top w:val="nil"/>
              <w:left w:val="nil"/>
              <w:bottom w:val="single" w:sz="8" w:space="0" w:color="auto"/>
              <w:right w:val="nil"/>
            </w:tcBorders>
            <w:shd w:val="clear" w:color="auto" w:fill="auto"/>
            <w:vAlign w:val="center"/>
            <w:hideMark/>
          </w:tcPr>
          <w:p w:rsidR="000B5AF8" w:rsidRPr="009E53C6" w:rsidRDefault="000B5AF8" w:rsidP="000B5AF8">
            <w:pPr>
              <w:jc w:val="center"/>
              <w:rPr>
                <w:rFonts w:ascii="Cambria" w:hAnsi="Cambria" w:cs="Calibri"/>
                <w:color w:val="000000"/>
                <w:sz w:val="18"/>
                <w:szCs w:val="18"/>
              </w:rPr>
            </w:pPr>
            <w:r w:rsidRPr="009E53C6">
              <w:rPr>
                <w:rFonts w:ascii="Cambria" w:hAnsi="Cambria" w:cs="Calibri"/>
                <w:color w:val="000000"/>
                <w:sz w:val="18"/>
                <w:szCs w:val="18"/>
              </w:rPr>
              <w:t>0,00</w:t>
            </w:r>
          </w:p>
        </w:tc>
        <w:tc>
          <w:tcPr>
            <w:tcW w:w="1198" w:type="dxa"/>
            <w:tcBorders>
              <w:top w:val="nil"/>
              <w:left w:val="nil"/>
              <w:bottom w:val="single" w:sz="8" w:space="0" w:color="auto"/>
              <w:right w:val="nil"/>
            </w:tcBorders>
            <w:shd w:val="clear" w:color="auto" w:fill="auto"/>
            <w:vAlign w:val="center"/>
            <w:hideMark/>
          </w:tcPr>
          <w:p w:rsidR="000B5AF8" w:rsidRPr="009E53C6" w:rsidRDefault="001423EC" w:rsidP="000B5AF8">
            <w:pPr>
              <w:jc w:val="center"/>
              <w:rPr>
                <w:rFonts w:ascii="Cambria" w:hAnsi="Cambria" w:cs="Calibri"/>
                <w:color w:val="000000"/>
                <w:sz w:val="18"/>
                <w:szCs w:val="18"/>
              </w:rPr>
            </w:pPr>
            <w:r>
              <w:rPr>
                <w:rFonts w:ascii="Cambria" w:hAnsi="Cambria" w:cs="Calibri"/>
                <w:color w:val="000000"/>
                <w:sz w:val="18"/>
                <w:szCs w:val="18"/>
              </w:rPr>
              <w:t>0,00</w:t>
            </w:r>
          </w:p>
        </w:tc>
        <w:tc>
          <w:tcPr>
            <w:tcW w:w="1597" w:type="dxa"/>
            <w:tcBorders>
              <w:top w:val="nil"/>
              <w:left w:val="nil"/>
              <w:bottom w:val="single" w:sz="8" w:space="0" w:color="auto"/>
              <w:right w:val="nil"/>
            </w:tcBorders>
            <w:shd w:val="clear" w:color="auto" w:fill="auto"/>
            <w:vAlign w:val="center"/>
            <w:hideMark/>
          </w:tcPr>
          <w:p w:rsidR="000B5AF8" w:rsidRPr="009E53C6" w:rsidRDefault="001423EC" w:rsidP="000B5AF8">
            <w:pPr>
              <w:jc w:val="center"/>
              <w:rPr>
                <w:rFonts w:ascii="Cambria" w:hAnsi="Cambria" w:cs="Calibri"/>
                <w:color w:val="000000"/>
                <w:sz w:val="18"/>
                <w:szCs w:val="18"/>
              </w:rPr>
            </w:pPr>
            <w:r>
              <w:rPr>
                <w:rFonts w:ascii="Cambria" w:hAnsi="Cambria" w:cs="Calibri"/>
                <w:color w:val="000000"/>
                <w:sz w:val="18"/>
                <w:szCs w:val="18"/>
              </w:rPr>
              <w:t>-89.117,31</w:t>
            </w:r>
          </w:p>
        </w:tc>
        <w:tc>
          <w:tcPr>
            <w:tcW w:w="940" w:type="dxa"/>
            <w:tcBorders>
              <w:top w:val="nil"/>
              <w:left w:val="nil"/>
              <w:bottom w:val="single" w:sz="8" w:space="0" w:color="auto"/>
              <w:right w:val="nil"/>
            </w:tcBorders>
            <w:shd w:val="clear" w:color="auto" w:fill="auto"/>
            <w:vAlign w:val="center"/>
            <w:hideMark/>
          </w:tcPr>
          <w:p w:rsidR="000B5AF8" w:rsidRPr="009E53C6" w:rsidRDefault="000B5AF8" w:rsidP="000B5AF8">
            <w:pPr>
              <w:jc w:val="center"/>
              <w:rPr>
                <w:rFonts w:ascii="Cambria" w:hAnsi="Cambria" w:cs="Calibri"/>
                <w:color w:val="000000"/>
                <w:sz w:val="18"/>
                <w:szCs w:val="18"/>
              </w:rPr>
            </w:pPr>
            <w:r w:rsidRPr="009E53C6">
              <w:rPr>
                <w:rFonts w:ascii="Cambria" w:hAnsi="Cambria" w:cs="Calibri"/>
                <w:color w:val="000000"/>
                <w:sz w:val="18"/>
                <w:szCs w:val="18"/>
              </w:rPr>
              <w:t>0,00</w:t>
            </w:r>
          </w:p>
        </w:tc>
        <w:tc>
          <w:tcPr>
            <w:tcW w:w="1392" w:type="dxa"/>
            <w:tcBorders>
              <w:top w:val="nil"/>
              <w:left w:val="nil"/>
              <w:bottom w:val="single" w:sz="8" w:space="0" w:color="auto"/>
              <w:right w:val="nil"/>
            </w:tcBorders>
            <w:shd w:val="clear" w:color="auto" w:fill="auto"/>
            <w:vAlign w:val="center"/>
            <w:hideMark/>
          </w:tcPr>
          <w:p w:rsidR="000B5AF8" w:rsidRPr="009E53C6" w:rsidRDefault="000B5AF8" w:rsidP="000B5AF8">
            <w:pPr>
              <w:jc w:val="center"/>
              <w:rPr>
                <w:rFonts w:ascii="Cambria" w:hAnsi="Cambria" w:cs="Calibri"/>
                <w:color w:val="000000"/>
                <w:sz w:val="18"/>
                <w:szCs w:val="18"/>
              </w:rPr>
            </w:pPr>
            <w:r w:rsidRPr="009E53C6">
              <w:rPr>
                <w:rFonts w:ascii="Cambria" w:hAnsi="Cambria" w:cs="Calibri"/>
                <w:color w:val="000000"/>
                <w:sz w:val="18"/>
                <w:szCs w:val="18"/>
              </w:rPr>
              <w:t>0,00</w:t>
            </w:r>
          </w:p>
        </w:tc>
        <w:tc>
          <w:tcPr>
            <w:tcW w:w="996" w:type="dxa"/>
            <w:tcBorders>
              <w:top w:val="nil"/>
              <w:left w:val="nil"/>
              <w:bottom w:val="single" w:sz="8" w:space="0" w:color="auto"/>
              <w:right w:val="nil"/>
            </w:tcBorders>
            <w:shd w:val="clear" w:color="auto" w:fill="auto"/>
            <w:vAlign w:val="center"/>
            <w:hideMark/>
          </w:tcPr>
          <w:p w:rsidR="000B5AF8" w:rsidRPr="009E53C6" w:rsidRDefault="001423EC" w:rsidP="000B5AF8">
            <w:pPr>
              <w:jc w:val="center"/>
              <w:rPr>
                <w:rFonts w:ascii="Cambria" w:hAnsi="Cambria" w:cs="Calibri"/>
                <w:color w:val="000000"/>
                <w:sz w:val="18"/>
                <w:szCs w:val="18"/>
              </w:rPr>
            </w:pPr>
            <w:r>
              <w:rPr>
                <w:rFonts w:ascii="Cambria" w:hAnsi="Cambria" w:cs="Calibri"/>
                <w:color w:val="000000"/>
                <w:sz w:val="18"/>
                <w:szCs w:val="18"/>
              </w:rPr>
              <w:t>-89.117,31</w:t>
            </w:r>
          </w:p>
        </w:tc>
      </w:tr>
    </w:tbl>
    <w:p w:rsidR="000B5AF8" w:rsidRDefault="000B5AF8" w:rsidP="000B5AF8">
      <w:pPr>
        <w:spacing w:line="276" w:lineRule="auto"/>
        <w:jc w:val="both"/>
        <w:rPr>
          <w:rFonts w:asciiTheme="majorHAnsi" w:hAnsiTheme="majorHAnsi"/>
          <w:highlight w:val="yellow"/>
        </w:rPr>
      </w:pPr>
    </w:p>
    <w:p w:rsidR="000B5AF8" w:rsidRDefault="000B5AF8" w:rsidP="000B5AF8">
      <w:pPr>
        <w:spacing w:line="276" w:lineRule="auto"/>
        <w:jc w:val="both"/>
        <w:rPr>
          <w:rFonts w:asciiTheme="majorHAnsi" w:hAnsiTheme="majorHAnsi"/>
        </w:rPr>
      </w:pPr>
    </w:p>
    <w:p w:rsidR="00205A13" w:rsidRDefault="00205A13" w:rsidP="000B5AF8">
      <w:pPr>
        <w:spacing w:line="276" w:lineRule="auto"/>
        <w:jc w:val="both"/>
        <w:rPr>
          <w:rFonts w:asciiTheme="majorHAnsi" w:hAnsiTheme="majorHAnsi"/>
        </w:rPr>
      </w:pPr>
    </w:p>
    <w:p w:rsidR="00205A13" w:rsidRDefault="00205A13" w:rsidP="000B5AF8">
      <w:pPr>
        <w:spacing w:line="276" w:lineRule="auto"/>
        <w:jc w:val="both"/>
        <w:rPr>
          <w:rFonts w:asciiTheme="majorHAnsi" w:hAnsiTheme="majorHAnsi"/>
        </w:rPr>
      </w:pPr>
    </w:p>
    <w:p w:rsidR="00205A13" w:rsidRDefault="00205A13" w:rsidP="000B5AF8">
      <w:pPr>
        <w:spacing w:line="276" w:lineRule="auto"/>
        <w:jc w:val="both"/>
        <w:rPr>
          <w:rFonts w:asciiTheme="majorHAnsi" w:hAnsiTheme="majorHAnsi"/>
        </w:rPr>
      </w:pPr>
    </w:p>
    <w:p w:rsidR="000B5AF8" w:rsidRPr="001423EC"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1423EC">
        <w:rPr>
          <w:rFonts w:ascii="Times New Roman" w:hAnsi="Times New Roman" w:cs="Times New Roman"/>
          <w:spacing w:val="-3"/>
          <w:sz w:val="22"/>
          <w:szCs w:val="22"/>
          <w:lang w:val="es-ES_tradnl" w:eastAsia="es-ES_tradnl"/>
        </w:rPr>
        <w:t xml:space="preserve">El desglose del gasto / ingreso por impuesto sobre beneficios en el ejercicio </w:t>
      </w:r>
      <w:r w:rsidR="001423EC">
        <w:rPr>
          <w:rFonts w:ascii="Times New Roman" w:hAnsi="Times New Roman" w:cs="Times New Roman"/>
          <w:spacing w:val="-3"/>
          <w:sz w:val="22"/>
          <w:szCs w:val="22"/>
          <w:lang w:val="es-ES_tradnl" w:eastAsia="es-ES_tradnl"/>
        </w:rPr>
        <w:t>2019</w:t>
      </w:r>
      <w:r w:rsidRPr="001423EC">
        <w:rPr>
          <w:rFonts w:ascii="Times New Roman" w:hAnsi="Times New Roman" w:cs="Times New Roman"/>
          <w:spacing w:val="-3"/>
          <w:sz w:val="22"/>
          <w:szCs w:val="22"/>
          <w:lang w:val="es-ES_tradnl" w:eastAsia="es-ES_tradnl"/>
        </w:rPr>
        <w:t xml:space="preserve"> es el siguiente:</w:t>
      </w:r>
    </w:p>
    <w:p w:rsidR="000B5AF8" w:rsidRPr="001423EC"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8265" w:type="dxa"/>
        <w:jc w:val="right"/>
        <w:tblInd w:w="55" w:type="dxa"/>
        <w:tblCellMar>
          <w:left w:w="70" w:type="dxa"/>
          <w:right w:w="70" w:type="dxa"/>
        </w:tblCellMar>
        <w:tblLook w:val="04A0"/>
      </w:tblPr>
      <w:tblGrid>
        <w:gridCol w:w="1206"/>
        <w:gridCol w:w="983"/>
        <w:gridCol w:w="1221"/>
        <w:gridCol w:w="1513"/>
        <w:gridCol w:w="826"/>
        <w:gridCol w:w="1490"/>
        <w:gridCol w:w="1026"/>
      </w:tblGrid>
      <w:tr w:rsidR="000B5AF8" w:rsidRPr="003247FC" w:rsidTr="007F7DF5">
        <w:trPr>
          <w:trHeight w:val="310"/>
          <w:jc w:val="right"/>
        </w:trPr>
        <w:tc>
          <w:tcPr>
            <w:tcW w:w="1206" w:type="dxa"/>
            <w:vMerge w:val="restart"/>
            <w:tcBorders>
              <w:top w:val="single" w:sz="8" w:space="0" w:color="auto"/>
              <w:left w:val="nil"/>
              <w:bottom w:val="single" w:sz="8" w:space="0" w:color="000000"/>
              <w:right w:val="single" w:sz="8" w:space="0" w:color="auto"/>
            </w:tcBorders>
            <w:shd w:val="clear" w:color="000000" w:fill="F2F2F2"/>
            <w:vAlign w:val="center"/>
            <w:hideMark/>
          </w:tcPr>
          <w:p w:rsidR="000B5AF8" w:rsidRPr="003247FC" w:rsidRDefault="000B5AF8" w:rsidP="000B5AF8">
            <w:pPr>
              <w:rPr>
                <w:rFonts w:ascii="Cambria" w:hAnsi="Cambria"/>
                <w:color w:val="000000"/>
                <w:sz w:val="16"/>
                <w:szCs w:val="16"/>
              </w:rPr>
            </w:pPr>
            <w:r w:rsidRPr="003247FC">
              <w:rPr>
                <w:rFonts w:ascii="Cambria" w:hAnsi="Cambria"/>
                <w:color w:val="000000"/>
                <w:sz w:val="16"/>
                <w:szCs w:val="16"/>
              </w:rPr>
              <w:t> </w:t>
            </w:r>
          </w:p>
        </w:tc>
        <w:tc>
          <w:tcPr>
            <w:tcW w:w="98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1.Impuesto Corriente</w:t>
            </w:r>
          </w:p>
        </w:tc>
        <w:tc>
          <w:tcPr>
            <w:tcW w:w="0" w:type="auto"/>
            <w:gridSpan w:val="4"/>
            <w:tcBorders>
              <w:top w:val="single" w:sz="8" w:space="0" w:color="auto"/>
              <w:left w:val="nil"/>
              <w:bottom w:val="single" w:sz="8" w:space="0" w:color="auto"/>
              <w:right w:val="single" w:sz="8" w:space="0" w:color="000000"/>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2.Variación del impuesto diferido</w:t>
            </w:r>
          </w:p>
        </w:tc>
        <w:tc>
          <w:tcPr>
            <w:tcW w:w="0" w:type="auto"/>
            <w:vMerge w:val="restart"/>
            <w:tcBorders>
              <w:top w:val="single" w:sz="8" w:space="0" w:color="auto"/>
              <w:left w:val="single" w:sz="8" w:space="0" w:color="auto"/>
              <w:bottom w:val="single" w:sz="8" w:space="0" w:color="000000"/>
              <w:right w:val="nil"/>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3. TOTAL (1+2)</w:t>
            </w:r>
          </w:p>
        </w:tc>
      </w:tr>
      <w:tr w:rsidR="000B5AF8" w:rsidRPr="003247FC" w:rsidTr="007F7DF5">
        <w:trPr>
          <w:trHeight w:val="684"/>
          <w:jc w:val="right"/>
        </w:trPr>
        <w:tc>
          <w:tcPr>
            <w:tcW w:w="1206" w:type="dxa"/>
            <w:vMerge/>
            <w:tcBorders>
              <w:top w:val="single" w:sz="8" w:space="0" w:color="auto"/>
              <w:left w:val="nil"/>
              <w:bottom w:val="single" w:sz="8" w:space="0" w:color="000000"/>
              <w:right w:val="single" w:sz="8" w:space="0" w:color="auto"/>
            </w:tcBorders>
            <w:vAlign w:val="center"/>
            <w:hideMark/>
          </w:tcPr>
          <w:p w:rsidR="000B5AF8" w:rsidRPr="003247FC" w:rsidRDefault="000B5AF8" w:rsidP="000B5AF8">
            <w:pPr>
              <w:rPr>
                <w:rFonts w:ascii="Cambria" w:hAnsi="Cambria"/>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rsidR="000B5AF8" w:rsidRPr="003247FC" w:rsidRDefault="000B5AF8" w:rsidP="000B5AF8">
            <w:pPr>
              <w:rPr>
                <w:rFonts w:ascii="Cambria" w:hAnsi="Cambria"/>
                <w:b/>
                <w:bCs/>
                <w:color w:val="000000"/>
                <w:sz w:val="16"/>
                <w:szCs w:val="16"/>
              </w:rPr>
            </w:pPr>
          </w:p>
        </w:tc>
        <w:tc>
          <w:tcPr>
            <w:tcW w:w="0" w:type="auto"/>
            <w:gridSpan w:val="3"/>
            <w:tcBorders>
              <w:top w:val="single" w:sz="8" w:space="0" w:color="auto"/>
              <w:left w:val="nil"/>
              <w:bottom w:val="single" w:sz="8" w:space="0" w:color="auto"/>
              <w:right w:val="single" w:sz="8" w:space="0" w:color="000000"/>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a)Variación del impuesto diferido activo</w:t>
            </w:r>
          </w:p>
        </w:tc>
        <w:tc>
          <w:tcPr>
            <w:tcW w:w="0" w:type="auto"/>
            <w:tcBorders>
              <w:top w:val="nil"/>
              <w:left w:val="nil"/>
              <w:bottom w:val="single" w:sz="8" w:space="0" w:color="auto"/>
              <w:right w:val="single" w:sz="8" w:space="0" w:color="auto"/>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b)Variación del impuesto diferido de pasivo</w:t>
            </w:r>
          </w:p>
        </w:tc>
        <w:tc>
          <w:tcPr>
            <w:tcW w:w="0" w:type="auto"/>
            <w:vMerge/>
            <w:tcBorders>
              <w:top w:val="single" w:sz="8" w:space="0" w:color="auto"/>
              <w:left w:val="single" w:sz="8" w:space="0" w:color="auto"/>
              <w:bottom w:val="single" w:sz="8" w:space="0" w:color="000000"/>
              <w:right w:val="nil"/>
            </w:tcBorders>
            <w:vAlign w:val="center"/>
            <w:hideMark/>
          </w:tcPr>
          <w:p w:rsidR="000B5AF8" w:rsidRPr="003247FC" w:rsidRDefault="000B5AF8" w:rsidP="000B5AF8">
            <w:pPr>
              <w:rPr>
                <w:rFonts w:ascii="Cambria" w:hAnsi="Cambria"/>
                <w:b/>
                <w:bCs/>
                <w:color w:val="000000"/>
                <w:sz w:val="16"/>
                <w:szCs w:val="16"/>
              </w:rPr>
            </w:pPr>
          </w:p>
        </w:tc>
      </w:tr>
      <w:tr w:rsidR="000B5AF8" w:rsidRPr="003247FC" w:rsidTr="007F7DF5">
        <w:trPr>
          <w:trHeight w:val="679"/>
          <w:jc w:val="right"/>
        </w:trPr>
        <w:tc>
          <w:tcPr>
            <w:tcW w:w="1206" w:type="dxa"/>
            <w:vMerge/>
            <w:tcBorders>
              <w:top w:val="single" w:sz="8" w:space="0" w:color="auto"/>
              <w:left w:val="nil"/>
              <w:bottom w:val="single" w:sz="8" w:space="0" w:color="000000"/>
              <w:right w:val="single" w:sz="8" w:space="0" w:color="auto"/>
            </w:tcBorders>
            <w:vAlign w:val="center"/>
            <w:hideMark/>
          </w:tcPr>
          <w:p w:rsidR="000B5AF8" w:rsidRPr="003247FC" w:rsidRDefault="000B5AF8" w:rsidP="000B5AF8">
            <w:pPr>
              <w:rPr>
                <w:rFonts w:ascii="Cambria" w:hAnsi="Cambria"/>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rsidR="000B5AF8" w:rsidRPr="003247FC" w:rsidRDefault="000B5AF8" w:rsidP="000B5AF8">
            <w:pPr>
              <w:rPr>
                <w:rFonts w:ascii="Cambria" w:hAnsi="Cambria"/>
                <w:b/>
                <w:bCs/>
                <w:color w:val="000000"/>
                <w:sz w:val="16"/>
                <w:szCs w:val="16"/>
              </w:rPr>
            </w:pPr>
          </w:p>
        </w:tc>
        <w:tc>
          <w:tcPr>
            <w:tcW w:w="0" w:type="auto"/>
            <w:tcBorders>
              <w:top w:val="nil"/>
              <w:left w:val="nil"/>
              <w:bottom w:val="single" w:sz="8" w:space="0" w:color="auto"/>
              <w:right w:val="single" w:sz="8" w:space="0" w:color="auto"/>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Diferencias temporarias</w:t>
            </w:r>
          </w:p>
        </w:tc>
        <w:tc>
          <w:tcPr>
            <w:tcW w:w="0" w:type="auto"/>
            <w:tcBorders>
              <w:top w:val="nil"/>
              <w:left w:val="nil"/>
              <w:bottom w:val="single" w:sz="8" w:space="0" w:color="auto"/>
              <w:right w:val="single" w:sz="8" w:space="0" w:color="auto"/>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Crédito impositivo por bases imponibles negativas</w:t>
            </w:r>
          </w:p>
        </w:tc>
        <w:tc>
          <w:tcPr>
            <w:tcW w:w="0" w:type="auto"/>
            <w:tcBorders>
              <w:top w:val="nil"/>
              <w:left w:val="nil"/>
              <w:bottom w:val="single" w:sz="8" w:space="0" w:color="auto"/>
              <w:right w:val="single" w:sz="8" w:space="0" w:color="auto"/>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Otros créditos</w:t>
            </w:r>
          </w:p>
        </w:tc>
        <w:tc>
          <w:tcPr>
            <w:tcW w:w="0" w:type="auto"/>
            <w:tcBorders>
              <w:top w:val="nil"/>
              <w:left w:val="nil"/>
              <w:bottom w:val="single" w:sz="8" w:space="0" w:color="auto"/>
              <w:right w:val="single" w:sz="8" w:space="0" w:color="auto"/>
            </w:tcBorders>
            <w:shd w:val="clear" w:color="000000" w:fill="F2F2F2"/>
            <w:vAlign w:val="center"/>
            <w:hideMark/>
          </w:tcPr>
          <w:p w:rsidR="000B5AF8" w:rsidRPr="003247FC" w:rsidRDefault="000B5AF8" w:rsidP="000B5AF8">
            <w:pPr>
              <w:jc w:val="center"/>
              <w:rPr>
                <w:rFonts w:ascii="Cambria" w:hAnsi="Cambria"/>
                <w:b/>
                <w:bCs/>
                <w:color w:val="000000"/>
                <w:sz w:val="16"/>
                <w:szCs w:val="16"/>
              </w:rPr>
            </w:pPr>
            <w:r w:rsidRPr="003247FC">
              <w:rPr>
                <w:rFonts w:ascii="Cambria" w:hAnsi="Cambria"/>
                <w:b/>
                <w:bCs/>
                <w:color w:val="000000"/>
                <w:sz w:val="16"/>
                <w:szCs w:val="16"/>
              </w:rPr>
              <w:t>Diferencias temporarias</w:t>
            </w:r>
          </w:p>
        </w:tc>
        <w:tc>
          <w:tcPr>
            <w:tcW w:w="0" w:type="auto"/>
            <w:vMerge/>
            <w:tcBorders>
              <w:top w:val="single" w:sz="8" w:space="0" w:color="auto"/>
              <w:left w:val="single" w:sz="8" w:space="0" w:color="auto"/>
              <w:bottom w:val="single" w:sz="8" w:space="0" w:color="000000"/>
              <w:right w:val="nil"/>
            </w:tcBorders>
            <w:vAlign w:val="center"/>
            <w:hideMark/>
          </w:tcPr>
          <w:p w:rsidR="000B5AF8" w:rsidRPr="003247FC" w:rsidRDefault="000B5AF8" w:rsidP="000B5AF8">
            <w:pPr>
              <w:rPr>
                <w:rFonts w:ascii="Cambria" w:hAnsi="Cambria"/>
                <w:b/>
                <w:bCs/>
                <w:color w:val="000000"/>
                <w:sz w:val="16"/>
                <w:szCs w:val="16"/>
              </w:rPr>
            </w:pPr>
          </w:p>
        </w:tc>
      </w:tr>
      <w:tr w:rsidR="000B5AF8" w:rsidRPr="003247FC" w:rsidTr="007F7DF5">
        <w:trPr>
          <w:trHeight w:val="295"/>
          <w:jc w:val="right"/>
        </w:trPr>
        <w:tc>
          <w:tcPr>
            <w:tcW w:w="1206" w:type="dxa"/>
            <w:tcBorders>
              <w:top w:val="nil"/>
              <w:left w:val="nil"/>
              <w:right w:val="nil"/>
            </w:tcBorders>
            <w:shd w:val="clear" w:color="auto" w:fill="auto"/>
            <w:vAlign w:val="center"/>
            <w:hideMark/>
          </w:tcPr>
          <w:p w:rsidR="000B5AF8" w:rsidRPr="003247FC" w:rsidRDefault="000B5AF8" w:rsidP="000B5AF8">
            <w:pPr>
              <w:rPr>
                <w:rFonts w:ascii="Cambria" w:hAnsi="Cambria"/>
                <w:b/>
                <w:bCs/>
                <w:color w:val="000000"/>
                <w:sz w:val="16"/>
                <w:szCs w:val="16"/>
              </w:rPr>
            </w:pPr>
            <w:r w:rsidRPr="003247FC">
              <w:rPr>
                <w:rFonts w:ascii="Cambria" w:hAnsi="Cambria"/>
                <w:b/>
                <w:bCs/>
                <w:color w:val="000000"/>
                <w:sz w:val="16"/>
                <w:szCs w:val="16"/>
              </w:rPr>
              <w:t xml:space="preserve">Imputación a </w:t>
            </w:r>
            <w:proofErr w:type="spellStart"/>
            <w:r w:rsidRPr="003247FC">
              <w:rPr>
                <w:rFonts w:ascii="Cambria" w:hAnsi="Cambria"/>
                <w:b/>
                <w:bCs/>
                <w:color w:val="000000"/>
                <w:sz w:val="16"/>
                <w:szCs w:val="16"/>
              </w:rPr>
              <w:t>PyG</w:t>
            </w:r>
            <w:proofErr w:type="spellEnd"/>
            <w:r w:rsidRPr="003247FC">
              <w:rPr>
                <w:rFonts w:ascii="Cambria" w:hAnsi="Cambria"/>
                <w:b/>
                <w:bCs/>
                <w:color w:val="000000"/>
                <w:sz w:val="16"/>
                <w:szCs w:val="16"/>
              </w:rPr>
              <w:t>, de la cual:</w:t>
            </w:r>
          </w:p>
        </w:tc>
        <w:tc>
          <w:tcPr>
            <w:tcW w:w="983" w:type="dxa"/>
            <w:tcBorders>
              <w:top w:val="nil"/>
              <w:left w:val="nil"/>
              <w:right w:val="nil"/>
            </w:tcBorders>
            <w:shd w:val="clear" w:color="auto" w:fill="auto"/>
            <w:vAlign w:val="center"/>
            <w:hideMark/>
          </w:tcPr>
          <w:p w:rsidR="000B5AF8" w:rsidRPr="003247FC" w:rsidRDefault="000B5AF8" w:rsidP="000B5AF8">
            <w:pPr>
              <w:jc w:val="center"/>
              <w:rPr>
                <w:rFonts w:ascii="Cambria" w:hAnsi="Cambria"/>
                <w:b/>
                <w:bCs/>
                <w:color w:val="000000"/>
                <w:sz w:val="18"/>
                <w:szCs w:val="18"/>
              </w:rPr>
            </w:pPr>
            <w:r w:rsidRPr="003247FC">
              <w:rPr>
                <w:rFonts w:ascii="Cambria" w:hAnsi="Cambria"/>
                <w:b/>
                <w:bCs/>
                <w:color w:val="000000"/>
                <w:sz w:val="18"/>
                <w:szCs w:val="18"/>
              </w:rPr>
              <w:t>0,00</w:t>
            </w:r>
          </w:p>
        </w:tc>
        <w:tc>
          <w:tcPr>
            <w:tcW w:w="0" w:type="auto"/>
            <w:tcBorders>
              <w:top w:val="nil"/>
              <w:left w:val="nil"/>
              <w:right w:val="nil"/>
            </w:tcBorders>
            <w:shd w:val="clear" w:color="auto" w:fill="auto"/>
            <w:vAlign w:val="center"/>
            <w:hideMark/>
          </w:tcPr>
          <w:p w:rsidR="000B5AF8" w:rsidRPr="003247FC" w:rsidRDefault="001423EC" w:rsidP="000B5AF8">
            <w:pPr>
              <w:jc w:val="center"/>
              <w:rPr>
                <w:rFonts w:ascii="Cambria" w:hAnsi="Cambria"/>
                <w:b/>
                <w:bCs/>
                <w:color w:val="000000"/>
                <w:sz w:val="18"/>
                <w:szCs w:val="18"/>
              </w:rPr>
            </w:pPr>
            <w:r>
              <w:rPr>
                <w:rFonts w:ascii="Cambria" w:hAnsi="Cambria"/>
                <w:b/>
                <w:bCs/>
                <w:color w:val="000000"/>
                <w:sz w:val="18"/>
                <w:szCs w:val="18"/>
              </w:rPr>
              <w:t>0,00</w:t>
            </w:r>
          </w:p>
        </w:tc>
        <w:tc>
          <w:tcPr>
            <w:tcW w:w="0" w:type="auto"/>
            <w:tcBorders>
              <w:top w:val="nil"/>
              <w:left w:val="nil"/>
              <w:right w:val="nil"/>
            </w:tcBorders>
            <w:shd w:val="clear" w:color="auto" w:fill="auto"/>
            <w:vAlign w:val="center"/>
            <w:hideMark/>
          </w:tcPr>
          <w:p w:rsidR="000B5AF8" w:rsidRPr="003247FC" w:rsidRDefault="001423EC" w:rsidP="000B5AF8">
            <w:pPr>
              <w:jc w:val="center"/>
              <w:rPr>
                <w:rFonts w:ascii="Cambria" w:hAnsi="Cambria"/>
                <w:b/>
                <w:bCs/>
                <w:color w:val="000000"/>
                <w:sz w:val="18"/>
                <w:szCs w:val="18"/>
              </w:rPr>
            </w:pPr>
            <w:r>
              <w:rPr>
                <w:rFonts w:ascii="Cambria" w:hAnsi="Cambria"/>
                <w:b/>
                <w:bCs/>
                <w:color w:val="000000"/>
                <w:sz w:val="18"/>
                <w:szCs w:val="18"/>
              </w:rPr>
              <w:t>-90.209,00</w:t>
            </w:r>
          </w:p>
        </w:tc>
        <w:tc>
          <w:tcPr>
            <w:tcW w:w="0" w:type="auto"/>
            <w:tcBorders>
              <w:top w:val="nil"/>
              <w:left w:val="nil"/>
              <w:right w:val="nil"/>
            </w:tcBorders>
            <w:shd w:val="clear" w:color="auto" w:fill="auto"/>
            <w:vAlign w:val="center"/>
            <w:hideMark/>
          </w:tcPr>
          <w:p w:rsidR="000B5AF8" w:rsidRPr="003247FC" w:rsidRDefault="000B5AF8" w:rsidP="000B5AF8">
            <w:pPr>
              <w:jc w:val="center"/>
              <w:rPr>
                <w:rFonts w:ascii="Cambria" w:hAnsi="Cambria"/>
                <w:b/>
                <w:bCs/>
                <w:color w:val="000000"/>
                <w:sz w:val="18"/>
                <w:szCs w:val="18"/>
              </w:rPr>
            </w:pPr>
            <w:r w:rsidRPr="003247FC">
              <w:rPr>
                <w:rFonts w:ascii="Cambria" w:hAnsi="Cambria"/>
                <w:b/>
                <w:bCs/>
                <w:color w:val="000000"/>
                <w:sz w:val="18"/>
                <w:szCs w:val="18"/>
              </w:rPr>
              <w:t>0,00</w:t>
            </w:r>
          </w:p>
        </w:tc>
        <w:tc>
          <w:tcPr>
            <w:tcW w:w="0" w:type="auto"/>
            <w:tcBorders>
              <w:top w:val="nil"/>
              <w:left w:val="nil"/>
              <w:right w:val="nil"/>
            </w:tcBorders>
            <w:shd w:val="clear" w:color="auto" w:fill="auto"/>
            <w:vAlign w:val="center"/>
            <w:hideMark/>
          </w:tcPr>
          <w:p w:rsidR="000B5AF8" w:rsidRPr="003247FC" w:rsidRDefault="000B5AF8" w:rsidP="000B5AF8">
            <w:pPr>
              <w:jc w:val="center"/>
              <w:rPr>
                <w:rFonts w:ascii="Cambria" w:hAnsi="Cambria"/>
                <w:b/>
                <w:bCs/>
                <w:color w:val="000000"/>
                <w:sz w:val="18"/>
                <w:szCs w:val="18"/>
              </w:rPr>
            </w:pPr>
            <w:r w:rsidRPr="003247FC">
              <w:rPr>
                <w:rFonts w:ascii="Cambria" w:hAnsi="Cambria"/>
                <w:b/>
                <w:bCs/>
                <w:color w:val="000000"/>
                <w:sz w:val="18"/>
                <w:szCs w:val="18"/>
              </w:rPr>
              <w:t>0,00</w:t>
            </w:r>
          </w:p>
        </w:tc>
        <w:tc>
          <w:tcPr>
            <w:tcW w:w="0" w:type="auto"/>
            <w:tcBorders>
              <w:top w:val="nil"/>
              <w:left w:val="nil"/>
              <w:right w:val="nil"/>
            </w:tcBorders>
            <w:shd w:val="clear" w:color="auto" w:fill="auto"/>
            <w:vAlign w:val="center"/>
            <w:hideMark/>
          </w:tcPr>
          <w:p w:rsidR="000B5AF8" w:rsidRPr="003247FC" w:rsidRDefault="001423EC" w:rsidP="000B5AF8">
            <w:pPr>
              <w:jc w:val="center"/>
              <w:rPr>
                <w:rFonts w:ascii="Cambria" w:hAnsi="Cambria"/>
                <w:b/>
                <w:bCs/>
                <w:color w:val="000000"/>
                <w:sz w:val="18"/>
                <w:szCs w:val="18"/>
              </w:rPr>
            </w:pPr>
            <w:r>
              <w:rPr>
                <w:rFonts w:ascii="Cambria" w:hAnsi="Cambria"/>
                <w:b/>
                <w:bCs/>
                <w:color w:val="000000"/>
                <w:sz w:val="18"/>
                <w:szCs w:val="18"/>
              </w:rPr>
              <w:t>-90.209,00</w:t>
            </w:r>
          </w:p>
        </w:tc>
      </w:tr>
      <w:tr w:rsidR="000B5AF8" w:rsidRPr="003247FC" w:rsidTr="007F7DF5">
        <w:trPr>
          <w:trHeight w:val="295"/>
          <w:jc w:val="right"/>
        </w:trPr>
        <w:tc>
          <w:tcPr>
            <w:tcW w:w="1206" w:type="dxa"/>
            <w:tcBorders>
              <w:top w:val="nil"/>
              <w:left w:val="nil"/>
              <w:bottom w:val="single" w:sz="8" w:space="0" w:color="auto"/>
              <w:right w:val="nil"/>
            </w:tcBorders>
            <w:shd w:val="clear" w:color="auto" w:fill="auto"/>
            <w:vAlign w:val="center"/>
            <w:hideMark/>
          </w:tcPr>
          <w:p w:rsidR="000B5AF8" w:rsidRPr="003247FC" w:rsidRDefault="000B5AF8" w:rsidP="000B5AF8">
            <w:pPr>
              <w:rPr>
                <w:rFonts w:ascii="Cambria" w:hAnsi="Cambria"/>
                <w:color w:val="000000"/>
                <w:sz w:val="16"/>
                <w:szCs w:val="16"/>
              </w:rPr>
            </w:pPr>
            <w:r w:rsidRPr="003247FC">
              <w:rPr>
                <w:rFonts w:ascii="Cambria" w:hAnsi="Cambria"/>
                <w:color w:val="000000"/>
                <w:sz w:val="16"/>
                <w:szCs w:val="16"/>
              </w:rPr>
              <w:t>-A operaciones continuadas</w:t>
            </w:r>
          </w:p>
        </w:tc>
        <w:tc>
          <w:tcPr>
            <w:tcW w:w="983" w:type="dxa"/>
            <w:tcBorders>
              <w:top w:val="nil"/>
              <w:left w:val="nil"/>
              <w:bottom w:val="single" w:sz="8" w:space="0" w:color="auto"/>
              <w:right w:val="nil"/>
            </w:tcBorders>
            <w:shd w:val="clear" w:color="auto" w:fill="auto"/>
            <w:vAlign w:val="center"/>
            <w:hideMark/>
          </w:tcPr>
          <w:p w:rsidR="000B5AF8" w:rsidRPr="003247FC" w:rsidRDefault="000B5AF8" w:rsidP="000B5AF8">
            <w:pPr>
              <w:jc w:val="center"/>
              <w:rPr>
                <w:rFonts w:ascii="Cambria" w:hAnsi="Cambria"/>
                <w:color w:val="000000"/>
                <w:sz w:val="18"/>
                <w:szCs w:val="18"/>
              </w:rPr>
            </w:pPr>
            <w:r w:rsidRPr="003247FC">
              <w:rPr>
                <w:rFonts w:ascii="Cambria" w:hAnsi="Cambria"/>
                <w:color w:val="000000"/>
                <w:sz w:val="18"/>
                <w:szCs w:val="18"/>
              </w:rPr>
              <w:t>0,00</w:t>
            </w:r>
          </w:p>
        </w:tc>
        <w:tc>
          <w:tcPr>
            <w:tcW w:w="0" w:type="auto"/>
            <w:tcBorders>
              <w:top w:val="nil"/>
              <w:left w:val="nil"/>
              <w:bottom w:val="single" w:sz="8" w:space="0" w:color="auto"/>
              <w:right w:val="nil"/>
            </w:tcBorders>
            <w:shd w:val="clear" w:color="auto" w:fill="auto"/>
            <w:vAlign w:val="center"/>
            <w:hideMark/>
          </w:tcPr>
          <w:p w:rsidR="000B5AF8" w:rsidRPr="003247FC" w:rsidRDefault="001423EC" w:rsidP="000B5AF8">
            <w:pPr>
              <w:jc w:val="center"/>
              <w:rPr>
                <w:rFonts w:ascii="Cambria" w:hAnsi="Cambria"/>
                <w:color w:val="000000"/>
                <w:sz w:val="18"/>
                <w:szCs w:val="18"/>
              </w:rPr>
            </w:pPr>
            <w:r>
              <w:rPr>
                <w:rFonts w:ascii="Cambria" w:hAnsi="Cambria"/>
                <w:color w:val="000000"/>
                <w:sz w:val="18"/>
                <w:szCs w:val="18"/>
              </w:rPr>
              <w:t>0,00</w:t>
            </w:r>
          </w:p>
        </w:tc>
        <w:tc>
          <w:tcPr>
            <w:tcW w:w="0" w:type="auto"/>
            <w:tcBorders>
              <w:top w:val="nil"/>
              <w:left w:val="nil"/>
              <w:bottom w:val="single" w:sz="8" w:space="0" w:color="auto"/>
              <w:right w:val="nil"/>
            </w:tcBorders>
            <w:shd w:val="clear" w:color="auto" w:fill="auto"/>
            <w:vAlign w:val="center"/>
            <w:hideMark/>
          </w:tcPr>
          <w:p w:rsidR="000B5AF8" w:rsidRPr="003247FC" w:rsidRDefault="001423EC" w:rsidP="000B5AF8">
            <w:pPr>
              <w:jc w:val="center"/>
              <w:rPr>
                <w:rFonts w:ascii="Cambria" w:hAnsi="Cambria"/>
                <w:color w:val="000000"/>
                <w:sz w:val="18"/>
                <w:szCs w:val="18"/>
              </w:rPr>
            </w:pPr>
            <w:r>
              <w:rPr>
                <w:rFonts w:ascii="Cambria" w:hAnsi="Cambria"/>
                <w:color w:val="000000"/>
                <w:sz w:val="18"/>
                <w:szCs w:val="18"/>
              </w:rPr>
              <w:t>-90.209,00</w:t>
            </w:r>
          </w:p>
        </w:tc>
        <w:tc>
          <w:tcPr>
            <w:tcW w:w="0" w:type="auto"/>
            <w:tcBorders>
              <w:top w:val="nil"/>
              <w:left w:val="nil"/>
              <w:bottom w:val="single" w:sz="8" w:space="0" w:color="auto"/>
              <w:right w:val="nil"/>
            </w:tcBorders>
            <w:shd w:val="clear" w:color="auto" w:fill="auto"/>
            <w:vAlign w:val="center"/>
            <w:hideMark/>
          </w:tcPr>
          <w:p w:rsidR="000B5AF8" w:rsidRPr="003247FC" w:rsidRDefault="000B5AF8" w:rsidP="000B5AF8">
            <w:pPr>
              <w:jc w:val="center"/>
              <w:rPr>
                <w:rFonts w:ascii="Cambria" w:hAnsi="Cambria"/>
                <w:color w:val="000000"/>
                <w:sz w:val="18"/>
                <w:szCs w:val="18"/>
              </w:rPr>
            </w:pPr>
            <w:r w:rsidRPr="003247FC">
              <w:rPr>
                <w:rFonts w:ascii="Cambria" w:hAnsi="Cambria"/>
                <w:color w:val="000000"/>
                <w:sz w:val="18"/>
                <w:szCs w:val="18"/>
              </w:rPr>
              <w:t>0,00</w:t>
            </w:r>
          </w:p>
        </w:tc>
        <w:tc>
          <w:tcPr>
            <w:tcW w:w="0" w:type="auto"/>
            <w:tcBorders>
              <w:top w:val="nil"/>
              <w:left w:val="nil"/>
              <w:bottom w:val="single" w:sz="8" w:space="0" w:color="auto"/>
              <w:right w:val="nil"/>
            </w:tcBorders>
            <w:shd w:val="clear" w:color="auto" w:fill="auto"/>
            <w:vAlign w:val="center"/>
            <w:hideMark/>
          </w:tcPr>
          <w:p w:rsidR="000B5AF8" w:rsidRPr="003247FC" w:rsidRDefault="000B5AF8" w:rsidP="000B5AF8">
            <w:pPr>
              <w:jc w:val="center"/>
              <w:rPr>
                <w:rFonts w:ascii="Cambria" w:hAnsi="Cambria"/>
                <w:color w:val="000000"/>
                <w:sz w:val="18"/>
                <w:szCs w:val="18"/>
              </w:rPr>
            </w:pPr>
            <w:r w:rsidRPr="003247FC">
              <w:rPr>
                <w:rFonts w:ascii="Cambria" w:hAnsi="Cambria"/>
                <w:color w:val="000000"/>
                <w:sz w:val="18"/>
                <w:szCs w:val="18"/>
              </w:rPr>
              <w:t>0,00</w:t>
            </w:r>
          </w:p>
        </w:tc>
        <w:tc>
          <w:tcPr>
            <w:tcW w:w="0" w:type="auto"/>
            <w:tcBorders>
              <w:top w:val="nil"/>
              <w:left w:val="nil"/>
              <w:bottom w:val="single" w:sz="8" w:space="0" w:color="auto"/>
              <w:right w:val="nil"/>
            </w:tcBorders>
            <w:shd w:val="clear" w:color="auto" w:fill="auto"/>
            <w:vAlign w:val="center"/>
            <w:hideMark/>
          </w:tcPr>
          <w:p w:rsidR="000B5AF8" w:rsidRPr="003247FC" w:rsidRDefault="001423EC" w:rsidP="000B5AF8">
            <w:pPr>
              <w:jc w:val="center"/>
              <w:rPr>
                <w:rFonts w:ascii="Cambria" w:hAnsi="Cambria"/>
                <w:color w:val="000000"/>
                <w:sz w:val="18"/>
                <w:szCs w:val="18"/>
              </w:rPr>
            </w:pPr>
            <w:r>
              <w:rPr>
                <w:rFonts w:ascii="Cambria" w:hAnsi="Cambria"/>
                <w:color w:val="000000"/>
                <w:sz w:val="18"/>
                <w:szCs w:val="18"/>
              </w:rPr>
              <w:t>-90.209,00</w:t>
            </w:r>
          </w:p>
        </w:tc>
      </w:tr>
    </w:tbl>
    <w:p w:rsidR="000B5AF8" w:rsidRDefault="000B5AF8" w:rsidP="000B5AF8">
      <w:pPr>
        <w:spacing w:line="276" w:lineRule="auto"/>
        <w:jc w:val="both"/>
        <w:rPr>
          <w:rFonts w:asciiTheme="majorHAnsi" w:hAnsiTheme="majorHAnsi"/>
        </w:rPr>
      </w:pPr>
    </w:p>
    <w:p w:rsidR="00205A13" w:rsidRDefault="00205A13" w:rsidP="000B5AF8">
      <w:pPr>
        <w:spacing w:line="276" w:lineRule="auto"/>
        <w:jc w:val="both"/>
        <w:rPr>
          <w:rFonts w:asciiTheme="majorHAnsi" w:hAnsiTheme="majorHAnsi"/>
        </w:rPr>
      </w:pPr>
    </w:p>
    <w:p w:rsidR="00714748" w:rsidRDefault="00714748" w:rsidP="001423EC">
      <w:pPr>
        <w:tabs>
          <w:tab w:val="left" w:pos="-720"/>
        </w:tabs>
        <w:suppressAutoHyphens/>
        <w:ind w:left="709" w:right="-26"/>
        <w:jc w:val="both"/>
        <w:rPr>
          <w:rFonts w:asciiTheme="majorHAnsi" w:hAnsiTheme="majorHAnsi"/>
        </w:rPr>
      </w:pPr>
      <w:r>
        <w:rPr>
          <w:rFonts w:ascii="Times New Roman" w:hAnsi="Times New Roman" w:cs="Times New Roman"/>
          <w:sz w:val="22"/>
          <w:szCs w:val="22"/>
          <w:lang w:eastAsia="es-ES_tradnl"/>
        </w:rPr>
        <w:t>La</w:t>
      </w:r>
      <w:r w:rsidRPr="00661043">
        <w:rPr>
          <w:rFonts w:ascii="Times New Roman" w:hAnsi="Times New Roman" w:cs="Times New Roman"/>
          <w:spacing w:val="-2"/>
          <w:sz w:val="22"/>
          <w:szCs w:val="22"/>
          <w:lang w:val="es-ES_tradnl" w:eastAsia="es-ES_tradnl"/>
        </w:rPr>
        <w:t xml:space="preserve"> sociedad, de acuerdo al artículo 34 de la Ley del Impuesto de </w:t>
      </w:r>
      <w:r>
        <w:rPr>
          <w:rFonts w:ascii="Times New Roman" w:hAnsi="Times New Roman" w:cs="Times New Roman"/>
          <w:spacing w:val="-2"/>
          <w:sz w:val="22"/>
          <w:szCs w:val="22"/>
          <w:lang w:val="es-ES_tradnl" w:eastAsia="es-ES_tradnl"/>
        </w:rPr>
        <w:t>S</w:t>
      </w:r>
      <w:r w:rsidRPr="00661043">
        <w:rPr>
          <w:rFonts w:ascii="Times New Roman" w:hAnsi="Times New Roman" w:cs="Times New Roman"/>
          <w:spacing w:val="-2"/>
          <w:sz w:val="22"/>
          <w:szCs w:val="22"/>
          <w:lang w:val="es-ES_tradnl" w:eastAsia="es-ES_tradnl"/>
        </w:rPr>
        <w:t xml:space="preserve">ociedades </w:t>
      </w:r>
      <w:r>
        <w:rPr>
          <w:rFonts w:ascii="Times New Roman" w:hAnsi="Times New Roman" w:cs="Times New Roman"/>
          <w:spacing w:val="-2"/>
          <w:sz w:val="22"/>
          <w:szCs w:val="22"/>
          <w:lang w:val="es-ES_tradnl" w:eastAsia="es-ES_tradnl"/>
        </w:rPr>
        <w:t xml:space="preserve">puede aplicarse </w:t>
      </w:r>
      <w:r w:rsidRPr="00661043">
        <w:rPr>
          <w:rFonts w:ascii="Times New Roman" w:hAnsi="Times New Roman" w:cs="Times New Roman"/>
          <w:spacing w:val="-2"/>
          <w:sz w:val="22"/>
          <w:szCs w:val="22"/>
          <w:lang w:val="es-ES_tradnl" w:eastAsia="es-ES_tradnl"/>
        </w:rPr>
        <w:t xml:space="preserve">una bonificación del 99 por ciento la parte de cuota íntegra que corresponda a las rentas derivadas de la prestación de cual quiera de los servicios comprendidos en el apartado 2 g) del artículo 25 de la Ley 7/1985, de 2 de abril, </w:t>
      </w:r>
      <w:r>
        <w:rPr>
          <w:rFonts w:ascii="Times New Roman" w:hAnsi="Times New Roman" w:cs="Times New Roman"/>
          <w:spacing w:val="-2"/>
          <w:sz w:val="22"/>
          <w:szCs w:val="22"/>
          <w:lang w:val="es-ES_tradnl" w:eastAsia="es-ES_tradnl"/>
        </w:rPr>
        <w:t>Re</w:t>
      </w:r>
      <w:r w:rsidRPr="00661043">
        <w:rPr>
          <w:rFonts w:ascii="Times New Roman" w:hAnsi="Times New Roman" w:cs="Times New Roman"/>
          <w:spacing w:val="-2"/>
          <w:sz w:val="22"/>
          <w:szCs w:val="22"/>
          <w:lang w:val="es-ES_tradnl" w:eastAsia="es-ES_tradnl"/>
        </w:rPr>
        <w:t>guladora de las Bases del Régimen Local, de competencias de las entidades locales territoriales, municipales y provinciales.</w:t>
      </w:r>
    </w:p>
    <w:p w:rsidR="00714748" w:rsidRDefault="00714748" w:rsidP="001423EC">
      <w:pPr>
        <w:tabs>
          <w:tab w:val="left" w:pos="-720"/>
        </w:tabs>
        <w:suppressAutoHyphens/>
        <w:ind w:left="709" w:right="-26"/>
        <w:jc w:val="both"/>
        <w:rPr>
          <w:rFonts w:asciiTheme="majorHAnsi" w:hAnsiTheme="majorHAnsi"/>
        </w:rPr>
      </w:pPr>
    </w:p>
    <w:p w:rsidR="000B5AF8" w:rsidRPr="001423EC"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723618">
        <w:rPr>
          <w:rFonts w:asciiTheme="majorHAnsi" w:hAnsiTheme="majorHAnsi"/>
        </w:rPr>
        <w:t>S</w:t>
      </w:r>
      <w:r w:rsidRPr="001423EC">
        <w:rPr>
          <w:rFonts w:ascii="Times New Roman" w:hAnsi="Times New Roman" w:cs="Times New Roman"/>
          <w:spacing w:val="-3"/>
          <w:sz w:val="22"/>
          <w:szCs w:val="22"/>
          <w:lang w:val="es-ES_tradnl" w:eastAsia="es-ES_tradnl"/>
        </w:rPr>
        <w:t xml:space="preserve">obre dicha Base Imponible (Resultado Fiscal) se aplica el tipo impositivo del Impuesto sobre Sociedades </w:t>
      </w:r>
      <w:r w:rsidR="00714748">
        <w:rPr>
          <w:rFonts w:ascii="Times New Roman" w:hAnsi="Times New Roman" w:cs="Times New Roman"/>
          <w:spacing w:val="-3"/>
          <w:sz w:val="22"/>
          <w:szCs w:val="22"/>
          <w:lang w:val="es-ES_tradnl" w:eastAsia="es-ES_tradnl"/>
        </w:rPr>
        <w:t>respectivo bonificado</w:t>
      </w:r>
      <w:r w:rsidRPr="001423EC">
        <w:rPr>
          <w:rFonts w:ascii="Times New Roman" w:hAnsi="Times New Roman" w:cs="Times New Roman"/>
          <w:spacing w:val="-3"/>
          <w:sz w:val="22"/>
          <w:szCs w:val="22"/>
          <w:lang w:val="es-ES_tradnl" w:eastAsia="es-ES_tradnl"/>
        </w:rPr>
        <w:t>, y el importe resultante se minora por las distintas deducciones, así como por las retenciones soportadas y los pagos a cuenta del impuesto efectuados.</w:t>
      </w:r>
    </w:p>
    <w:p w:rsidR="000B5AF8" w:rsidRPr="001423EC"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p>
    <w:p w:rsidR="000B5AF8" w:rsidRPr="00714748"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714748">
        <w:rPr>
          <w:rFonts w:ascii="Times New Roman" w:hAnsi="Times New Roman" w:cs="Times New Roman"/>
          <w:spacing w:val="-3"/>
          <w:sz w:val="22"/>
          <w:szCs w:val="22"/>
          <w:lang w:val="es-ES_tradnl" w:eastAsia="es-ES_tradnl"/>
        </w:rPr>
        <w:t>El resultado del impuesto sobre sociedades se corresponde con:</w:t>
      </w:r>
    </w:p>
    <w:p w:rsidR="000B5AF8" w:rsidRPr="00714748" w:rsidRDefault="000B5AF8" w:rsidP="000B5AF8">
      <w:pPr>
        <w:spacing w:line="276" w:lineRule="auto"/>
        <w:jc w:val="both"/>
        <w:rPr>
          <w:rFonts w:asciiTheme="majorHAnsi" w:hAnsiTheme="majorHAnsi"/>
        </w:rPr>
      </w:pPr>
    </w:p>
    <w:tbl>
      <w:tblPr>
        <w:tblW w:w="6900" w:type="dxa"/>
        <w:jc w:val="center"/>
        <w:tblInd w:w="809" w:type="dxa"/>
        <w:tblCellMar>
          <w:left w:w="70" w:type="dxa"/>
          <w:right w:w="70" w:type="dxa"/>
        </w:tblCellMar>
        <w:tblLook w:val="04A0"/>
      </w:tblPr>
      <w:tblGrid>
        <w:gridCol w:w="4780"/>
        <w:gridCol w:w="1060"/>
        <w:gridCol w:w="1060"/>
      </w:tblGrid>
      <w:tr w:rsidR="000B5AF8" w:rsidRPr="00714748" w:rsidTr="001423EC">
        <w:trPr>
          <w:trHeight w:val="315"/>
          <w:jc w:val="center"/>
        </w:trPr>
        <w:tc>
          <w:tcPr>
            <w:tcW w:w="4780" w:type="dxa"/>
            <w:tcBorders>
              <w:top w:val="single" w:sz="8" w:space="0" w:color="auto"/>
              <w:left w:val="nil"/>
              <w:bottom w:val="single" w:sz="8" w:space="0" w:color="auto"/>
              <w:right w:val="nil"/>
            </w:tcBorders>
            <w:shd w:val="clear" w:color="000000" w:fill="F2F2F2"/>
            <w:vAlign w:val="center"/>
            <w:hideMark/>
          </w:tcPr>
          <w:p w:rsidR="000B5AF8" w:rsidRPr="00714748" w:rsidRDefault="000B5AF8" w:rsidP="000B5AF8">
            <w:pPr>
              <w:jc w:val="center"/>
              <w:rPr>
                <w:rFonts w:ascii="Cambria" w:hAnsi="Cambria" w:cs="Calibri"/>
                <w:b/>
                <w:bCs/>
                <w:color w:val="000000"/>
                <w:sz w:val="18"/>
                <w:szCs w:val="18"/>
              </w:rPr>
            </w:pPr>
            <w:r w:rsidRPr="00714748">
              <w:rPr>
                <w:rFonts w:ascii="Cambria" w:hAnsi="Cambria" w:cs="Calibri"/>
                <w:b/>
                <w:bCs/>
                <w:color w:val="000000"/>
                <w:sz w:val="18"/>
                <w:szCs w:val="18"/>
              </w:rPr>
              <w:t> </w:t>
            </w:r>
          </w:p>
        </w:tc>
        <w:tc>
          <w:tcPr>
            <w:tcW w:w="1060" w:type="dxa"/>
            <w:tcBorders>
              <w:top w:val="single" w:sz="8" w:space="0" w:color="auto"/>
              <w:left w:val="nil"/>
              <w:bottom w:val="single" w:sz="8" w:space="0" w:color="auto"/>
              <w:right w:val="nil"/>
            </w:tcBorders>
            <w:shd w:val="clear" w:color="000000" w:fill="F2F2F2"/>
            <w:vAlign w:val="center"/>
            <w:hideMark/>
          </w:tcPr>
          <w:p w:rsidR="000B5AF8" w:rsidRPr="00714748" w:rsidRDefault="001423EC" w:rsidP="000B5AF8">
            <w:pPr>
              <w:jc w:val="center"/>
              <w:rPr>
                <w:rFonts w:ascii="Cambria" w:hAnsi="Cambria" w:cs="Calibri"/>
                <w:b/>
                <w:bCs/>
                <w:color w:val="000000"/>
                <w:sz w:val="18"/>
                <w:szCs w:val="18"/>
              </w:rPr>
            </w:pPr>
            <w:r w:rsidRPr="00714748">
              <w:rPr>
                <w:rFonts w:ascii="Cambria" w:hAnsi="Cambria" w:cs="Calibri"/>
                <w:b/>
                <w:bCs/>
                <w:color w:val="000000"/>
                <w:sz w:val="18"/>
                <w:szCs w:val="18"/>
              </w:rPr>
              <w:t>2020</w:t>
            </w:r>
          </w:p>
        </w:tc>
        <w:tc>
          <w:tcPr>
            <w:tcW w:w="1060" w:type="dxa"/>
            <w:tcBorders>
              <w:top w:val="single" w:sz="8" w:space="0" w:color="auto"/>
              <w:left w:val="nil"/>
              <w:bottom w:val="single" w:sz="8" w:space="0" w:color="auto"/>
              <w:right w:val="nil"/>
            </w:tcBorders>
            <w:shd w:val="clear" w:color="000000" w:fill="F2F2F2"/>
            <w:vAlign w:val="center"/>
            <w:hideMark/>
          </w:tcPr>
          <w:p w:rsidR="000B5AF8" w:rsidRPr="00714748" w:rsidRDefault="001423EC" w:rsidP="000B5AF8">
            <w:pPr>
              <w:jc w:val="center"/>
              <w:rPr>
                <w:rFonts w:ascii="Cambria" w:hAnsi="Cambria" w:cs="Calibri"/>
                <w:b/>
                <w:bCs/>
                <w:color w:val="000000"/>
                <w:sz w:val="18"/>
                <w:szCs w:val="18"/>
              </w:rPr>
            </w:pPr>
            <w:r w:rsidRPr="00714748">
              <w:rPr>
                <w:rFonts w:ascii="Cambria" w:hAnsi="Cambria" w:cs="Calibri"/>
                <w:b/>
                <w:bCs/>
                <w:color w:val="000000"/>
                <w:sz w:val="18"/>
                <w:szCs w:val="18"/>
              </w:rPr>
              <w:t>2020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Base imponible</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Cuota integra</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Deducciones de la cuota</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Impuesto corriente</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Impuesto diferido</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Retenciones</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714748" w:rsidTr="001423EC">
        <w:trPr>
          <w:trHeight w:hRule="exact" w:val="284"/>
          <w:jc w:val="center"/>
        </w:trPr>
        <w:tc>
          <w:tcPr>
            <w:tcW w:w="4780" w:type="dxa"/>
            <w:tcBorders>
              <w:top w:val="nil"/>
              <w:left w:val="nil"/>
              <w:bottom w:val="nil"/>
              <w:right w:val="nil"/>
            </w:tcBorders>
            <w:shd w:val="clear" w:color="auto" w:fill="auto"/>
            <w:vAlign w:val="center"/>
            <w:hideMark/>
          </w:tcPr>
          <w:p w:rsidR="000B5AF8" w:rsidRPr="00714748" w:rsidRDefault="000B5AF8" w:rsidP="000B5AF8">
            <w:pPr>
              <w:rPr>
                <w:rFonts w:ascii="Cambria" w:hAnsi="Cambria" w:cs="Calibri"/>
                <w:color w:val="000000"/>
                <w:sz w:val="18"/>
                <w:szCs w:val="18"/>
              </w:rPr>
            </w:pPr>
            <w:r w:rsidRPr="00714748">
              <w:rPr>
                <w:rFonts w:ascii="Cambria" w:hAnsi="Cambria" w:cs="Calibri"/>
                <w:color w:val="000000"/>
                <w:sz w:val="18"/>
                <w:szCs w:val="18"/>
              </w:rPr>
              <w:t>Pagos a cuenta del impuesto</w:t>
            </w:r>
          </w:p>
        </w:tc>
        <w:tc>
          <w:tcPr>
            <w:tcW w:w="1060" w:type="dxa"/>
            <w:tcBorders>
              <w:top w:val="nil"/>
              <w:left w:val="nil"/>
              <w:bottom w:val="nil"/>
              <w:right w:val="nil"/>
            </w:tcBorders>
            <w:shd w:val="clear" w:color="auto" w:fill="auto"/>
            <w:vAlign w:val="center"/>
            <w:hideMark/>
          </w:tcPr>
          <w:p w:rsidR="000B5AF8" w:rsidRPr="00714748" w:rsidRDefault="000B5AF8" w:rsidP="000B5AF8">
            <w:pPr>
              <w:jc w:val="right"/>
              <w:rPr>
                <w:rFonts w:ascii="Cambria" w:hAnsi="Cambria" w:cs="Calibri"/>
                <w:color w:val="000000"/>
                <w:sz w:val="18"/>
                <w:szCs w:val="18"/>
              </w:rPr>
            </w:pPr>
            <w:r w:rsidRPr="00714748">
              <w:rPr>
                <w:rFonts w:ascii="Cambria" w:hAnsi="Cambria" w:cs="Calibri"/>
                <w:color w:val="000000"/>
                <w:sz w:val="18"/>
                <w:szCs w:val="18"/>
              </w:rPr>
              <w:t>0,00</w:t>
            </w:r>
          </w:p>
        </w:tc>
        <w:tc>
          <w:tcPr>
            <w:tcW w:w="1060" w:type="dxa"/>
            <w:tcBorders>
              <w:top w:val="nil"/>
              <w:left w:val="nil"/>
              <w:bottom w:val="nil"/>
              <w:right w:val="nil"/>
            </w:tcBorders>
            <w:shd w:val="clear" w:color="auto" w:fill="auto"/>
            <w:vAlign w:val="center"/>
            <w:hideMark/>
          </w:tcPr>
          <w:p w:rsidR="000B5AF8" w:rsidRPr="00714748" w:rsidRDefault="001423EC" w:rsidP="000B5AF8">
            <w:pPr>
              <w:jc w:val="right"/>
              <w:rPr>
                <w:rFonts w:ascii="Cambria" w:hAnsi="Cambria" w:cs="Calibri"/>
                <w:color w:val="000000"/>
                <w:sz w:val="18"/>
                <w:szCs w:val="18"/>
              </w:rPr>
            </w:pPr>
            <w:r w:rsidRPr="00714748">
              <w:rPr>
                <w:rFonts w:ascii="Cambria" w:hAnsi="Cambria" w:cs="Calibri"/>
                <w:color w:val="000000"/>
                <w:sz w:val="18"/>
                <w:szCs w:val="18"/>
              </w:rPr>
              <w:t>0,00</w:t>
            </w:r>
          </w:p>
        </w:tc>
      </w:tr>
      <w:tr w:rsidR="000B5AF8" w:rsidRPr="00466535" w:rsidTr="001423EC">
        <w:trPr>
          <w:trHeight w:hRule="exact" w:val="284"/>
          <w:jc w:val="center"/>
        </w:trPr>
        <w:tc>
          <w:tcPr>
            <w:tcW w:w="4780" w:type="dxa"/>
            <w:tcBorders>
              <w:top w:val="nil"/>
              <w:left w:val="nil"/>
              <w:bottom w:val="single" w:sz="8" w:space="0" w:color="auto"/>
              <w:right w:val="nil"/>
            </w:tcBorders>
            <w:shd w:val="clear" w:color="auto" w:fill="auto"/>
            <w:vAlign w:val="center"/>
            <w:hideMark/>
          </w:tcPr>
          <w:p w:rsidR="000B5AF8" w:rsidRPr="00714748" w:rsidRDefault="000B5AF8" w:rsidP="000B5AF8">
            <w:pPr>
              <w:rPr>
                <w:rFonts w:ascii="Cambria" w:hAnsi="Cambria" w:cs="Calibri"/>
                <w:b/>
                <w:bCs/>
                <w:color w:val="000000"/>
                <w:sz w:val="18"/>
                <w:szCs w:val="18"/>
              </w:rPr>
            </w:pPr>
            <w:r w:rsidRPr="00714748">
              <w:rPr>
                <w:rFonts w:ascii="Cambria" w:hAnsi="Cambria" w:cs="Calibri"/>
                <w:b/>
                <w:bCs/>
                <w:color w:val="000000"/>
                <w:sz w:val="18"/>
                <w:szCs w:val="18"/>
              </w:rPr>
              <w:t>RESULTADO DEL IMPUESTO -  A pagar (+) A devolver (-)</w:t>
            </w:r>
          </w:p>
        </w:tc>
        <w:tc>
          <w:tcPr>
            <w:tcW w:w="1060" w:type="dxa"/>
            <w:tcBorders>
              <w:top w:val="nil"/>
              <w:left w:val="nil"/>
              <w:bottom w:val="single" w:sz="8" w:space="0" w:color="auto"/>
              <w:right w:val="nil"/>
            </w:tcBorders>
            <w:shd w:val="clear" w:color="auto" w:fill="auto"/>
            <w:vAlign w:val="center"/>
            <w:hideMark/>
          </w:tcPr>
          <w:p w:rsidR="000B5AF8" w:rsidRPr="00714748" w:rsidRDefault="001423EC" w:rsidP="000B5AF8">
            <w:pPr>
              <w:jc w:val="right"/>
              <w:rPr>
                <w:rFonts w:ascii="Cambria" w:hAnsi="Cambria" w:cs="Calibri"/>
                <w:b/>
                <w:bCs/>
                <w:color w:val="000000"/>
                <w:sz w:val="18"/>
                <w:szCs w:val="18"/>
              </w:rPr>
            </w:pPr>
            <w:r w:rsidRPr="00714748">
              <w:rPr>
                <w:rFonts w:ascii="Cambria" w:hAnsi="Cambria" w:cs="Calibri"/>
                <w:b/>
                <w:bCs/>
                <w:color w:val="000000"/>
                <w:sz w:val="18"/>
                <w:szCs w:val="18"/>
              </w:rPr>
              <w:t>0,00</w:t>
            </w:r>
          </w:p>
        </w:tc>
        <w:tc>
          <w:tcPr>
            <w:tcW w:w="1060" w:type="dxa"/>
            <w:tcBorders>
              <w:top w:val="nil"/>
              <w:left w:val="nil"/>
              <w:bottom w:val="single" w:sz="8" w:space="0" w:color="auto"/>
              <w:right w:val="nil"/>
            </w:tcBorders>
            <w:shd w:val="clear" w:color="auto" w:fill="auto"/>
            <w:vAlign w:val="center"/>
            <w:hideMark/>
          </w:tcPr>
          <w:p w:rsidR="000B5AF8" w:rsidRPr="00466535" w:rsidRDefault="001423EC" w:rsidP="000B5AF8">
            <w:pPr>
              <w:jc w:val="right"/>
              <w:rPr>
                <w:rFonts w:ascii="Cambria" w:hAnsi="Cambria" w:cs="Calibri"/>
                <w:b/>
                <w:bCs/>
                <w:color w:val="000000"/>
                <w:sz w:val="18"/>
                <w:szCs w:val="18"/>
              </w:rPr>
            </w:pPr>
            <w:r w:rsidRPr="00714748">
              <w:rPr>
                <w:rFonts w:ascii="Cambria" w:hAnsi="Cambria" w:cs="Calibri"/>
                <w:b/>
                <w:bCs/>
                <w:color w:val="000000"/>
                <w:sz w:val="18"/>
                <w:szCs w:val="18"/>
              </w:rPr>
              <w:t>0,00</w:t>
            </w:r>
          </w:p>
        </w:tc>
      </w:tr>
    </w:tbl>
    <w:p w:rsidR="009B4B09" w:rsidRDefault="009B4B09" w:rsidP="009B4B09">
      <w:pPr>
        <w:shd w:val="clear" w:color="auto" w:fill="FFFFFF"/>
        <w:ind w:left="720"/>
        <w:jc w:val="both"/>
        <w:rPr>
          <w:rFonts w:ascii="Times New Roman" w:hAnsi="Times New Roman" w:cs="Times New Roman"/>
          <w:color w:val="0000FF"/>
          <w:sz w:val="22"/>
          <w:szCs w:val="22"/>
          <w:lang w:val="es-ES_tradnl" w:eastAsia="es-ES_tradnl"/>
        </w:rPr>
      </w:pPr>
    </w:p>
    <w:p w:rsidR="00205A13" w:rsidRDefault="00205A13" w:rsidP="009B4B09">
      <w:pPr>
        <w:shd w:val="clear" w:color="auto" w:fill="FFFFFF"/>
        <w:ind w:firstLine="709"/>
        <w:jc w:val="both"/>
        <w:rPr>
          <w:rFonts w:ascii="Times New Roman" w:hAnsi="Times New Roman" w:cs="Times New Roman"/>
          <w:spacing w:val="-3"/>
          <w:sz w:val="22"/>
          <w:szCs w:val="22"/>
          <w:lang w:val="es-ES_tradnl" w:eastAsia="es-ES_tradnl"/>
        </w:rPr>
      </w:pPr>
    </w:p>
    <w:p w:rsidR="009B4B09" w:rsidRPr="002F69BB" w:rsidRDefault="009B4B09" w:rsidP="009B4B09">
      <w:pPr>
        <w:shd w:val="clear" w:color="auto" w:fill="FFFFFF"/>
        <w:ind w:firstLine="709"/>
        <w:jc w:val="both"/>
        <w:rPr>
          <w:rFonts w:ascii="Times New Roman" w:hAnsi="Times New Roman" w:cs="Times New Roman"/>
          <w:spacing w:val="-3"/>
          <w:sz w:val="22"/>
          <w:szCs w:val="22"/>
          <w:lang w:val="es-ES_tradnl" w:eastAsia="es-ES_tradnl"/>
        </w:rPr>
      </w:pPr>
      <w:r w:rsidRPr="002F69BB">
        <w:rPr>
          <w:rFonts w:ascii="Times New Roman" w:hAnsi="Times New Roman" w:cs="Times New Roman"/>
          <w:spacing w:val="-3"/>
          <w:sz w:val="22"/>
          <w:szCs w:val="22"/>
          <w:lang w:val="es-ES_tradnl" w:eastAsia="es-ES_tradnl"/>
        </w:rPr>
        <w:t>El importe pendiente de compensar por Bases Imponibles Negativas se detalla a continuación:</w:t>
      </w:r>
    </w:p>
    <w:p w:rsidR="00DE49BA" w:rsidRPr="002F69BB" w:rsidRDefault="00DE49BA" w:rsidP="009B4B09">
      <w:pPr>
        <w:shd w:val="clear" w:color="auto" w:fill="FFFFFF"/>
        <w:ind w:firstLine="709"/>
        <w:jc w:val="both"/>
        <w:rPr>
          <w:rFonts w:ascii="Times New Roman" w:hAnsi="Times New Roman" w:cs="Times New Roman"/>
          <w:spacing w:val="-3"/>
          <w:sz w:val="22"/>
          <w:szCs w:val="22"/>
          <w:lang w:val="es-ES_tradnl" w:eastAsia="es-ES_tradnl"/>
        </w:rPr>
      </w:pPr>
    </w:p>
    <w:tbl>
      <w:tblPr>
        <w:tblW w:w="0" w:type="auto"/>
        <w:jc w:val="center"/>
        <w:tblInd w:w="2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2712"/>
        <w:gridCol w:w="1187"/>
        <w:gridCol w:w="1267"/>
      </w:tblGrid>
      <w:tr w:rsidR="002F69BB" w:rsidRPr="0012567B" w:rsidTr="007F7DF5">
        <w:trPr>
          <w:trHeight w:hRule="exact" w:val="457"/>
          <w:jc w:val="center"/>
        </w:trPr>
        <w:tc>
          <w:tcPr>
            <w:tcW w:w="2712" w:type="dxa"/>
            <w:shd w:val="clear" w:color="auto" w:fill="F2F2F2"/>
            <w:vAlign w:val="center"/>
          </w:tcPr>
          <w:p w:rsidR="002F69BB" w:rsidRPr="0012567B" w:rsidRDefault="002F69BB" w:rsidP="002F69BB">
            <w:pPr>
              <w:shd w:val="clear" w:color="auto" w:fill="FFFFFF"/>
              <w:jc w:val="both"/>
              <w:rPr>
                <w:rFonts w:asciiTheme="majorHAnsi" w:hAnsiTheme="majorHAnsi" w:cs="Times New Roman"/>
                <w:b/>
                <w:sz w:val="18"/>
                <w:szCs w:val="18"/>
              </w:rPr>
            </w:pPr>
            <w:r w:rsidRPr="0012567B">
              <w:rPr>
                <w:rFonts w:asciiTheme="majorHAnsi" w:hAnsiTheme="majorHAnsi" w:cs="Times New Roman"/>
                <w:b/>
                <w:sz w:val="18"/>
                <w:szCs w:val="18"/>
              </w:rPr>
              <w:t>Bases Imponibles Negativas</w:t>
            </w:r>
          </w:p>
        </w:tc>
        <w:tc>
          <w:tcPr>
            <w:tcW w:w="0" w:type="auto"/>
            <w:shd w:val="clear" w:color="auto" w:fill="F2F2F2"/>
            <w:vAlign w:val="center"/>
          </w:tcPr>
          <w:p w:rsidR="002F69BB" w:rsidRPr="0012567B" w:rsidRDefault="002F69BB" w:rsidP="006D1F44">
            <w:pPr>
              <w:shd w:val="clear" w:color="auto" w:fill="FFFFFF"/>
              <w:jc w:val="center"/>
              <w:rPr>
                <w:rFonts w:asciiTheme="majorHAnsi" w:hAnsiTheme="majorHAnsi" w:cs="Times New Roman"/>
                <w:b/>
                <w:sz w:val="18"/>
                <w:szCs w:val="18"/>
              </w:rPr>
            </w:pPr>
            <w:r w:rsidRPr="0012567B">
              <w:rPr>
                <w:rFonts w:asciiTheme="majorHAnsi" w:hAnsiTheme="majorHAnsi" w:cs="Times New Roman"/>
                <w:b/>
                <w:sz w:val="18"/>
                <w:szCs w:val="18"/>
              </w:rPr>
              <w:t>AÑO 2020</w:t>
            </w:r>
          </w:p>
        </w:tc>
        <w:tc>
          <w:tcPr>
            <w:tcW w:w="1267" w:type="dxa"/>
            <w:shd w:val="clear" w:color="auto" w:fill="F2F2F2"/>
            <w:vAlign w:val="center"/>
          </w:tcPr>
          <w:p w:rsidR="002F69BB" w:rsidRPr="0012567B" w:rsidRDefault="002F69BB" w:rsidP="006D1F44">
            <w:pPr>
              <w:shd w:val="clear" w:color="auto" w:fill="FFFFFF"/>
              <w:jc w:val="center"/>
              <w:rPr>
                <w:rFonts w:asciiTheme="majorHAnsi" w:hAnsiTheme="majorHAnsi" w:cs="Times New Roman"/>
                <w:b/>
                <w:sz w:val="18"/>
                <w:szCs w:val="18"/>
              </w:rPr>
            </w:pPr>
            <w:r w:rsidRPr="0012567B">
              <w:rPr>
                <w:rFonts w:asciiTheme="majorHAnsi" w:hAnsiTheme="majorHAnsi" w:cs="Times New Roman"/>
                <w:b/>
                <w:sz w:val="18"/>
                <w:szCs w:val="18"/>
              </w:rPr>
              <w:t>AÑO 2019</w:t>
            </w:r>
          </w:p>
        </w:tc>
      </w:tr>
      <w:tr w:rsidR="002F69BB" w:rsidRPr="0012567B" w:rsidTr="007F7DF5">
        <w:trPr>
          <w:trHeight w:hRule="exact" w:val="414"/>
          <w:jc w:val="center"/>
        </w:trPr>
        <w:tc>
          <w:tcPr>
            <w:tcW w:w="2712" w:type="dxa"/>
            <w:shd w:val="clear" w:color="auto" w:fill="FFFFFF"/>
            <w:vAlign w:val="center"/>
          </w:tcPr>
          <w:p w:rsidR="002F69BB" w:rsidRPr="0012567B" w:rsidRDefault="002F69BB" w:rsidP="00B80766">
            <w:pPr>
              <w:shd w:val="clear" w:color="auto" w:fill="FFFFFF"/>
              <w:jc w:val="both"/>
              <w:rPr>
                <w:rFonts w:asciiTheme="majorHAnsi" w:hAnsiTheme="majorHAnsi" w:cs="Times New Roman"/>
                <w:sz w:val="18"/>
                <w:szCs w:val="18"/>
              </w:rPr>
            </w:pPr>
            <w:r w:rsidRPr="0012567B">
              <w:rPr>
                <w:rFonts w:asciiTheme="majorHAnsi" w:hAnsiTheme="majorHAnsi" w:cs="Times New Roman"/>
                <w:sz w:val="18"/>
                <w:szCs w:val="18"/>
              </w:rPr>
              <w:t>Ejercicio 2007</w:t>
            </w:r>
          </w:p>
        </w:tc>
        <w:tc>
          <w:tcPr>
            <w:tcW w:w="0" w:type="auto"/>
            <w:shd w:val="clear" w:color="auto" w:fill="FFFFFF"/>
            <w:vAlign w:val="center"/>
          </w:tcPr>
          <w:p w:rsidR="002F69BB" w:rsidRPr="0012567B" w:rsidRDefault="002F69BB" w:rsidP="00B80766">
            <w:pPr>
              <w:shd w:val="clear" w:color="auto" w:fill="FFFFFF"/>
              <w:ind w:right="32"/>
              <w:jc w:val="center"/>
              <w:rPr>
                <w:rFonts w:asciiTheme="majorHAnsi" w:hAnsiTheme="majorHAnsi" w:cs="Times New Roman"/>
                <w:sz w:val="18"/>
                <w:szCs w:val="18"/>
              </w:rPr>
            </w:pPr>
            <w:r w:rsidRPr="0012567B">
              <w:rPr>
                <w:rFonts w:asciiTheme="majorHAnsi" w:hAnsiTheme="majorHAnsi" w:cs="Times New Roman"/>
                <w:sz w:val="18"/>
                <w:szCs w:val="18"/>
              </w:rPr>
              <w:t>2.526.338,57</w:t>
            </w:r>
          </w:p>
        </w:tc>
        <w:tc>
          <w:tcPr>
            <w:tcW w:w="1267" w:type="dxa"/>
            <w:shd w:val="clear" w:color="auto" w:fill="FFFFFF"/>
            <w:vAlign w:val="center"/>
          </w:tcPr>
          <w:p w:rsidR="002F69BB" w:rsidRPr="0012567B" w:rsidRDefault="002F69BB" w:rsidP="002F69BB">
            <w:pPr>
              <w:shd w:val="clear" w:color="auto" w:fill="FFFFFF"/>
              <w:ind w:right="32"/>
              <w:jc w:val="center"/>
              <w:rPr>
                <w:rFonts w:asciiTheme="majorHAnsi" w:hAnsiTheme="majorHAnsi" w:cs="Times New Roman"/>
                <w:sz w:val="18"/>
                <w:szCs w:val="18"/>
              </w:rPr>
            </w:pPr>
            <w:r w:rsidRPr="0012567B">
              <w:rPr>
                <w:rFonts w:asciiTheme="majorHAnsi" w:hAnsiTheme="majorHAnsi" w:cs="Times New Roman"/>
                <w:sz w:val="18"/>
                <w:szCs w:val="18"/>
              </w:rPr>
              <w:t>2.615.455,88</w:t>
            </w:r>
          </w:p>
        </w:tc>
      </w:tr>
      <w:tr w:rsidR="002F69BB" w:rsidRPr="0012567B" w:rsidTr="007F7DF5">
        <w:trPr>
          <w:trHeight w:hRule="exact" w:val="414"/>
          <w:jc w:val="center"/>
        </w:trPr>
        <w:tc>
          <w:tcPr>
            <w:tcW w:w="2712" w:type="dxa"/>
            <w:shd w:val="clear" w:color="auto" w:fill="FFFFFF"/>
            <w:vAlign w:val="center"/>
          </w:tcPr>
          <w:p w:rsidR="002F69BB" w:rsidRPr="0012567B" w:rsidRDefault="002F69BB" w:rsidP="00B80766">
            <w:pPr>
              <w:shd w:val="clear" w:color="auto" w:fill="FFFFFF"/>
              <w:jc w:val="both"/>
              <w:rPr>
                <w:rFonts w:asciiTheme="majorHAnsi" w:hAnsiTheme="majorHAnsi" w:cs="Times New Roman"/>
                <w:sz w:val="18"/>
                <w:szCs w:val="18"/>
              </w:rPr>
            </w:pPr>
            <w:r w:rsidRPr="0012567B">
              <w:rPr>
                <w:rFonts w:asciiTheme="majorHAnsi" w:hAnsiTheme="majorHAnsi" w:cs="Times New Roman"/>
                <w:sz w:val="18"/>
                <w:szCs w:val="18"/>
              </w:rPr>
              <w:t>Ejercicio 2008</w:t>
            </w:r>
          </w:p>
        </w:tc>
        <w:tc>
          <w:tcPr>
            <w:tcW w:w="0" w:type="auto"/>
            <w:shd w:val="clear" w:color="auto" w:fill="FFFFFF"/>
            <w:vAlign w:val="center"/>
          </w:tcPr>
          <w:p w:rsidR="002F69BB" w:rsidRPr="0012567B" w:rsidRDefault="002F69BB" w:rsidP="00B80766">
            <w:pPr>
              <w:shd w:val="clear" w:color="auto" w:fill="FFFFFF"/>
              <w:ind w:right="32"/>
              <w:jc w:val="center"/>
              <w:rPr>
                <w:rFonts w:asciiTheme="majorHAnsi" w:hAnsiTheme="majorHAnsi" w:cs="Times New Roman"/>
                <w:sz w:val="18"/>
                <w:szCs w:val="18"/>
              </w:rPr>
            </w:pPr>
            <w:r w:rsidRPr="0012567B">
              <w:rPr>
                <w:rFonts w:asciiTheme="majorHAnsi" w:hAnsiTheme="majorHAnsi" w:cs="Times New Roman"/>
                <w:sz w:val="18"/>
                <w:szCs w:val="18"/>
              </w:rPr>
              <w:t>3.752.408,92</w:t>
            </w:r>
          </w:p>
        </w:tc>
        <w:tc>
          <w:tcPr>
            <w:tcW w:w="1267" w:type="dxa"/>
            <w:shd w:val="clear" w:color="auto" w:fill="FFFFFF"/>
            <w:vAlign w:val="center"/>
          </w:tcPr>
          <w:p w:rsidR="002F69BB" w:rsidRPr="0012567B" w:rsidRDefault="002F69BB" w:rsidP="002F69BB">
            <w:pPr>
              <w:shd w:val="clear" w:color="auto" w:fill="FFFFFF"/>
              <w:ind w:right="32"/>
              <w:jc w:val="center"/>
              <w:rPr>
                <w:rFonts w:asciiTheme="majorHAnsi" w:hAnsiTheme="majorHAnsi" w:cs="Times New Roman"/>
                <w:sz w:val="18"/>
                <w:szCs w:val="18"/>
              </w:rPr>
            </w:pPr>
            <w:r w:rsidRPr="0012567B">
              <w:rPr>
                <w:rFonts w:asciiTheme="majorHAnsi" w:hAnsiTheme="majorHAnsi" w:cs="Times New Roman"/>
                <w:sz w:val="18"/>
                <w:szCs w:val="18"/>
              </w:rPr>
              <w:t>3.752.408,92</w:t>
            </w:r>
          </w:p>
        </w:tc>
      </w:tr>
      <w:tr w:rsidR="002F69BB" w:rsidRPr="0012567B" w:rsidTr="007F7DF5">
        <w:trPr>
          <w:trHeight w:hRule="exact" w:val="414"/>
          <w:jc w:val="center"/>
        </w:trPr>
        <w:tc>
          <w:tcPr>
            <w:tcW w:w="2712" w:type="dxa"/>
            <w:shd w:val="clear" w:color="auto" w:fill="FFFFFF"/>
            <w:vAlign w:val="center"/>
          </w:tcPr>
          <w:p w:rsidR="002F69BB" w:rsidRPr="0012567B" w:rsidRDefault="002F69BB" w:rsidP="00B80766">
            <w:pPr>
              <w:shd w:val="clear" w:color="auto" w:fill="FFFFFF"/>
              <w:jc w:val="both"/>
              <w:rPr>
                <w:rFonts w:asciiTheme="majorHAnsi" w:hAnsiTheme="majorHAnsi" w:cs="Times New Roman"/>
                <w:sz w:val="18"/>
                <w:szCs w:val="18"/>
              </w:rPr>
            </w:pPr>
            <w:r w:rsidRPr="0012567B">
              <w:rPr>
                <w:rFonts w:asciiTheme="majorHAnsi" w:hAnsiTheme="majorHAnsi" w:cs="Times New Roman"/>
                <w:sz w:val="18"/>
                <w:szCs w:val="18"/>
              </w:rPr>
              <w:t>Ejercicio 2011</w:t>
            </w:r>
          </w:p>
        </w:tc>
        <w:tc>
          <w:tcPr>
            <w:tcW w:w="0" w:type="auto"/>
            <w:shd w:val="clear" w:color="auto" w:fill="FFFFFF"/>
            <w:vAlign w:val="center"/>
          </w:tcPr>
          <w:p w:rsidR="002F69BB" w:rsidRPr="0012567B" w:rsidRDefault="002F69BB" w:rsidP="00B80766">
            <w:pPr>
              <w:shd w:val="clear" w:color="auto" w:fill="FFFFFF"/>
              <w:ind w:right="32"/>
              <w:jc w:val="center"/>
              <w:rPr>
                <w:rFonts w:asciiTheme="majorHAnsi" w:hAnsiTheme="majorHAnsi" w:cs="Times New Roman"/>
                <w:sz w:val="18"/>
                <w:szCs w:val="18"/>
              </w:rPr>
            </w:pPr>
            <w:r w:rsidRPr="0012567B">
              <w:rPr>
                <w:rFonts w:asciiTheme="majorHAnsi" w:hAnsiTheme="majorHAnsi" w:cs="Times New Roman"/>
                <w:sz w:val="18"/>
                <w:szCs w:val="18"/>
              </w:rPr>
              <w:t>215.490,06</w:t>
            </w:r>
          </w:p>
        </w:tc>
        <w:tc>
          <w:tcPr>
            <w:tcW w:w="1267" w:type="dxa"/>
            <w:shd w:val="clear" w:color="auto" w:fill="FFFFFF"/>
            <w:vAlign w:val="center"/>
          </w:tcPr>
          <w:p w:rsidR="002F69BB" w:rsidRPr="0012567B" w:rsidRDefault="002F69BB" w:rsidP="002F69BB">
            <w:pPr>
              <w:shd w:val="clear" w:color="auto" w:fill="FFFFFF"/>
              <w:ind w:right="32"/>
              <w:jc w:val="center"/>
              <w:rPr>
                <w:rFonts w:asciiTheme="majorHAnsi" w:hAnsiTheme="majorHAnsi" w:cs="Times New Roman"/>
                <w:sz w:val="18"/>
                <w:szCs w:val="18"/>
              </w:rPr>
            </w:pPr>
            <w:r w:rsidRPr="0012567B">
              <w:rPr>
                <w:rFonts w:asciiTheme="majorHAnsi" w:hAnsiTheme="majorHAnsi" w:cs="Times New Roman"/>
                <w:sz w:val="18"/>
                <w:szCs w:val="18"/>
              </w:rPr>
              <w:t>215.490,06</w:t>
            </w:r>
          </w:p>
        </w:tc>
      </w:tr>
      <w:tr w:rsidR="002F69BB" w:rsidRPr="0012567B" w:rsidTr="007F7DF5">
        <w:trPr>
          <w:trHeight w:hRule="exact" w:val="454"/>
          <w:jc w:val="center"/>
        </w:trPr>
        <w:tc>
          <w:tcPr>
            <w:tcW w:w="2712" w:type="dxa"/>
            <w:shd w:val="clear" w:color="auto" w:fill="FFFFFF"/>
            <w:vAlign w:val="center"/>
          </w:tcPr>
          <w:p w:rsidR="002F69BB" w:rsidRPr="0012567B" w:rsidRDefault="002F69BB" w:rsidP="00B80766">
            <w:pPr>
              <w:shd w:val="clear" w:color="auto" w:fill="FFFFFF"/>
              <w:ind w:left="742"/>
              <w:jc w:val="both"/>
              <w:rPr>
                <w:rFonts w:asciiTheme="majorHAnsi" w:hAnsiTheme="majorHAnsi" w:cs="Times New Roman"/>
                <w:b/>
                <w:sz w:val="18"/>
                <w:szCs w:val="18"/>
              </w:rPr>
            </w:pPr>
            <w:r w:rsidRPr="0012567B">
              <w:rPr>
                <w:rFonts w:asciiTheme="majorHAnsi" w:hAnsiTheme="majorHAnsi" w:cs="Times New Roman"/>
                <w:b/>
                <w:sz w:val="18"/>
                <w:szCs w:val="18"/>
              </w:rPr>
              <w:t>TOTALES</w:t>
            </w:r>
          </w:p>
        </w:tc>
        <w:tc>
          <w:tcPr>
            <w:tcW w:w="0" w:type="auto"/>
            <w:shd w:val="clear" w:color="auto" w:fill="FFFFFF"/>
            <w:vAlign w:val="center"/>
          </w:tcPr>
          <w:p w:rsidR="002F69BB" w:rsidRPr="0012567B" w:rsidRDefault="008C5A69" w:rsidP="00CD5303">
            <w:pPr>
              <w:shd w:val="clear" w:color="auto" w:fill="FFFFFF"/>
              <w:ind w:right="22"/>
              <w:jc w:val="center"/>
              <w:rPr>
                <w:rFonts w:asciiTheme="majorHAnsi" w:hAnsiTheme="majorHAnsi" w:cs="Times New Roman"/>
                <w:b/>
                <w:sz w:val="18"/>
                <w:szCs w:val="18"/>
              </w:rPr>
            </w:pPr>
            <w:r w:rsidRPr="0012567B">
              <w:rPr>
                <w:rFonts w:asciiTheme="majorHAnsi" w:hAnsiTheme="majorHAnsi" w:cs="Times New Roman"/>
                <w:b/>
                <w:sz w:val="18"/>
                <w:szCs w:val="18"/>
              </w:rPr>
              <w:fldChar w:fldCharType="begin"/>
            </w:r>
            <w:r w:rsidR="002F69BB" w:rsidRPr="0012567B">
              <w:rPr>
                <w:rFonts w:asciiTheme="majorHAnsi" w:hAnsiTheme="majorHAnsi" w:cs="Times New Roman"/>
                <w:b/>
                <w:sz w:val="18"/>
                <w:szCs w:val="18"/>
              </w:rPr>
              <w:instrText xml:space="preserve"> =SUM(ABOVE) \# "#.##0,00" </w:instrText>
            </w:r>
            <w:r w:rsidRPr="0012567B">
              <w:rPr>
                <w:rFonts w:asciiTheme="majorHAnsi" w:hAnsiTheme="majorHAnsi" w:cs="Times New Roman"/>
                <w:b/>
                <w:sz w:val="18"/>
                <w:szCs w:val="18"/>
              </w:rPr>
              <w:fldChar w:fldCharType="separate"/>
            </w:r>
            <w:r w:rsidR="000B3A42">
              <w:rPr>
                <w:rFonts w:asciiTheme="majorHAnsi" w:hAnsiTheme="majorHAnsi" w:cs="Times New Roman"/>
                <w:b/>
                <w:noProof/>
                <w:sz w:val="18"/>
                <w:szCs w:val="18"/>
              </w:rPr>
              <w:t>6.494.237,55</w:t>
            </w:r>
            <w:r w:rsidRPr="0012567B">
              <w:rPr>
                <w:rFonts w:asciiTheme="majorHAnsi" w:hAnsiTheme="majorHAnsi" w:cs="Times New Roman"/>
                <w:b/>
                <w:sz w:val="18"/>
                <w:szCs w:val="18"/>
              </w:rPr>
              <w:fldChar w:fldCharType="end"/>
            </w:r>
          </w:p>
        </w:tc>
        <w:tc>
          <w:tcPr>
            <w:tcW w:w="1267" w:type="dxa"/>
            <w:shd w:val="clear" w:color="auto" w:fill="FFFFFF"/>
            <w:vAlign w:val="center"/>
          </w:tcPr>
          <w:p w:rsidR="002F69BB" w:rsidRPr="0012567B" w:rsidRDefault="002F69BB" w:rsidP="00B80766">
            <w:pPr>
              <w:shd w:val="clear" w:color="auto" w:fill="FFFFFF"/>
              <w:ind w:right="22"/>
              <w:jc w:val="center"/>
              <w:rPr>
                <w:rFonts w:asciiTheme="majorHAnsi" w:hAnsiTheme="majorHAnsi" w:cs="Times New Roman"/>
                <w:b/>
                <w:sz w:val="18"/>
                <w:szCs w:val="18"/>
              </w:rPr>
            </w:pPr>
            <w:r w:rsidRPr="0012567B">
              <w:rPr>
                <w:rFonts w:asciiTheme="majorHAnsi" w:hAnsiTheme="majorHAnsi" w:cs="Times New Roman"/>
                <w:b/>
                <w:noProof/>
                <w:sz w:val="18"/>
                <w:szCs w:val="18"/>
              </w:rPr>
              <w:t>6.583.354,8</w:t>
            </w:r>
          </w:p>
        </w:tc>
      </w:tr>
    </w:tbl>
    <w:p w:rsidR="00DE49BA" w:rsidRPr="002F69BB" w:rsidRDefault="00DE49BA" w:rsidP="009B4B09">
      <w:pPr>
        <w:shd w:val="clear" w:color="auto" w:fill="FFFFFF"/>
        <w:ind w:firstLine="709"/>
        <w:jc w:val="both"/>
        <w:rPr>
          <w:rFonts w:ascii="Times New Roman" w:hAnsi="Times New Roman" w:cs="Times New Roman"/>
          <w:spacing w:val="-3"/>
          <w:sz w:val="22"/>
          <w:szCs w:val="22"/>
          <w:lang w:val="es-ES_tradnl" w:eastAsia="es-ES_tradnl"/>
        </w:rPr>
      </w:pPr>
    </w:p>
    <w:p w:rsidR="00E85B3D" w:rsidRPr="009F783D" w:rsidRDefault="00E85B3D" w:rsidP="00E85B3D">
      <w:pPr>
        <w:shd w:val="clear" w:color="auto" w:fill="FFFFFF"/>
        <w:ind w:left="720" w:right="7"/>
        <w:jc w:val="both"/>
        <w:rPr>
          <w:rFonts w:ascii="Times New Roman" w:hAnsi="Times New Roman" w:cs="Times New Roman"/>
          <w:spacing w:val="-3"/>
          <w:sz w:val="22"/>
          <w:szCs w:val="22"/>
          <w:lang w:val="es-ES_tradnl" w:eastAsia="es-ES_tradnl"/>
        </w:rPr>
      </w:pPr>
      <w:r w:rsidRPr="009F783D">
        <w:rPr>
          <w:rFonts w:ascii="Times New Roman" w:hAnsi="Times New Roman" w:cs="Times New Roman"/>
          <w:spacing w:val="-2"/>
          <w:sz w:val="22"/>
          <w:szCs w:val="22"/>
          <w:lang w:val="es-ES_tradnl" w:eastAsia="es-ES_tradnl"/>
        </w:rPr>
        <w:t xml:space="preserve">La Sociedad tiene abiertos a inspección todos los impuestos a que viene obligada desde el </w:t>
      </w:r>
      <w:r w:rsidRPr="009F783D">
        <w:rPr>
          <w:rFonts w:ascii="Times New Roman" w:hAnsi="Times New Roman" w:cs="Times New Roman"/>
          <w:spacing w:val="-3"/>
          <w:sz w:val="22"/>
          <w:szCs w:val="22"/>
          <w:lang w:val="es-ES_tradnl" w:eastAsia="es-ES_tradnl"/>
        </w:rPr>
        <w:t xml:space="preserve">ejercicio de </w:t>
      </w:r>
      <w:r w:rsidR="002F69BB" w:rsidRPr="009F783D">
        <w:rPr>
          <w:rFonts w:ascii="Times New Roman" w:hAnsi="Times New Roman" w:cs="Times New Roman"/>
          <w:spacing w:val="-3"/>
          <w:sz w:val="22"/>
          <w:szCs w:val="22"/>
          <w:lang w:val="es-ES_tradnl" w:eastAsia="es-ES_tradnl"/>
        </w:rPr>
        <w:t>2016</w:t>
      </w:r>
      <w:r w:rsidRPr="009F783D">
        <w:rPr>
          <w:rFonts w:ascii="Times New Roman" w:hAnsi="Times New Roman" w:cs="Times New Roman"/>
          <w:spacing w:val="-3"/>
          <w:sz w:val="22"/>
          <w:szCs w:val="22"/>
          <w:lang w:val="es-ES_tradnl" w:eastAsia="es-ES_tradnl"/>
        </w:rPr>
        <w:t>. En opinión de la Dirección de la Sociedad no existen contingencias de importes significativos que pudieran derivarse de la revisión de los años abiertos a inspección.</w:t>
      </w:r>
    </w:p>
    <w:p w:rsidR="00E85B3D" w:rsidRDefault="00E85B3D" w:rsidP="00E85B3D">
      <w:pPr>
        <w:shd w:val="clear" w:color="auto" w:fill="FFFFFF"/>
        <w:ind w:left="720" w:right="7"/>
        <w:jc w:val="both"/>
        <w:rPr>
          <w:rFonts w:ascii="Times New Roman" w:hAnsi="Times New Roman" w:cs="Times New Roman"/>
          <w:spacing w:val="-3"/>
          <w:sz w:val="22"/>
          <w:szCs w:val="22"/>
          <w:lang w:val="es-ES_tradnl" w:eastAsia="es-ES_tradnl"/>
        </w:rPr>
      </w:pPr>
    </w:p>
    <w:p w:rsidR="00205A13" w:rsidRPr="009F783D" w:rsidRDefault="00205A13" w:rsidP="00E85B3D">
      <w:pPr>
        <w:shd w:val="clear" w:color="auto" w:fill="FFFFFF"/>
        <w:ind w:left="720" w:right="7"/>
        <w:jc w:val="both"/>
        <w:rPr>
          <w:rFonts w:ascii="Times New Roman" w:hAnsi="Times New Roman" w:cs="Times New Roman"/>
          <w:spacing w:val="-3"/>
          <w:sz w:val="22"/>
          <w:szCs w:val="22"/>
          <w:lang w:val="es-ES_tradnl" w:eastAsia="es-ES_tradnl"/>
        </w:rPr>
      </w:pPr>
    </w:p>
    <w:p w:rsidR="00E85B3D" w:rsidRPr="009F783D" w:rsidRDefault="00E85B3D" w:rsidP="00E85B3D">
      <w:pPr>
        <w:shd w:val="clear" w:color="auto" w:fill="FFFFFF"/>
        <w:ind w:left="720" w:right="4"/>
        <w:jc w:val="both"/>
        <w:rPr>
          <w:rFonts w:ascii="Times New Roman" w:hAnsi="Times New Roman" w:cs="Times New Roman"/>
          <w:sz w:val="22"/>
          <w:szCs w:val="22"/>
          <w:lang w:val="es-ES_tradnl" w:eastAsia="es-ES_tradnl"/>
        </w:rPr>
      </w:pPr>
      <w:r w:rsidRPr="009F783D">
        <w:rPr>
          <w:rFonts w:ascii="Times New Roman" w:hAnsi="Times New Roman" w:cs="Times New Roman"/>
          <w:sz w:val="22"/>
          <w:szCs w:val="22"/>
          <w:lang w:val="es-ES_tradnl" w:eastAsia="es-ES_tradnl"/>
        </w:rPr>
        <w:t xml:space="preserve">Según las disposiciones legales vigentes las liquidaciones de impuestos no pueden </w:t>
      </w:r>
      <w:r w:rsidRPr="009F783D">
        <w:rPr>
          <w:rFonts w:ascii="Times New Roman" w:hAnsi="Times New Roman" w:cs="Times New Roman"/>
          <w:spacing w:val="-2"/>
          <w:sz w:val="22"/>
          <w:szCs w:val="22"/>
          <w:lang w:val="es-ES_tradnl" w:eastAsia="es-ES_tradnl"/>
        </w:rPr>
        <w:t xml:space="preserve">considerarse definitivas hasta que no han sido inspeccionadas por las autoridades fiscales o ha </w:t>
      </w:r>
      <w:r w:rsidRPr="009F783D">
        <w:rPr>
          <w:rFonts w:ascii="Times New Roman" w:hAnsi="Times New Roman" w:cs="Times New Roman"/>
          <w:sz w:val="22"/>
          <w:szCs w:val="22"/>
          <w:lang w:val="es-ES_tradnl" w:eastAsia="es-ES_tradnl"/>
        </w:rPr>
        <w:t>transcurrido el plazo de prescripción de cuatro años.</w:t>
      </w:r>
    </w:p>
    <w:p w:rsidR="00E85B3D" w:rsidRPr="00321047" w:rsidRDefault="00E85B3D" w:rsidP="00E85B3D">
      <w:pPr>
        <w:shd w:val="clear" w:color="auto" w:fill="FFFFFF"/>
        <w:ind w:left="720" w:right="4"/>
        <w:jc w:val="both"/>
        <w:rPr>
          <w:rFonts w:ascii="Times New Roman" w:hAnsi="Times New Roman" w:cs="Times New Roman"/>
          <w:color w:val="0000FF"/>
          <w:sz w:val="22"/>
          <w:szCs w:val="22"/>
          <w:lang w:val="es-ES_tradnl" w:eastAsia="es-ES_tradnl"/>
        </w:rPr>
      </w:pPr>
    </w:p>
    <w:p w:rsidR="009F783D" w:rsidRDefault="009F783D" w:rsidP="009F783D">
      <w:pPr>
        <w:tabs>
          <w:tab w:val="left" w:pos="-720"/>
          <w:tab w:val="left" w:pos="0"/>
        </w:tabs>
        <w:suppressAutoHyphens/>
        <w:ind w:left="720" w:right="-26"/>
        <w:jc w:val="both"/>
        <w:rPr>
          <w:rFonts w:ascii="Times New Roman" w:hAnsi="Times New Roman" w:cs="Times New Roman"/>
          <w:color w:val="0000FF"/>
          <w:spacing w:val="-3"/>
          <w:sz w:val="22"/>
          <w:szCs w:val="22"/>
          <w:lang w:eastAsia="es-ES_tradnl"/>
        </w:rPr>
      </w:pPr>
      <w:r w:rsidRPr="009F783D">
        <w:rPr>
          <w:rFonts w:ascii="Times New Roman" w:hAnsi="Times New Roman" w:cs="Times New Roman"/>
          <w:sz w:val="22"/>
          <w:szCs w:val="22"/>
          <w:lang w:val="es-ES_tradnl" w:eastAsia="es-ES_tradnl"/>
        </w:rPr>
        <w:t>A tenor de la firmeza de la Sentencia nº 439/2020 de la Sección Segunda de la Sala de lo Contencioso-Administrativo del Tribunal Supremo, en la que estimaba la reclamación de la entidad contra la Administración Tributaria de la Comunidad Autónoma de Canarias, referida a la liquidación tributaria del Impuesto General Indirecto Canario del ejercicio 2010,  la sociedad tiene recogido d</w:t>
      </w:r>
      <w:r w:rsidR="00E85B3D" w:rsidRPr="009F783D">
        <w:rPr>
          <w:rFonts w:ascii="Times New Roman" w:hAnsi="Times New Roman" w:cs="Times New Roman"/>
          <w:sz w:val="22"/>
          <w:szCs w:val="22"/>
          <w:lang w:val="es-ES_tradnl" w:eastAsia="es-ES_tradnl"/>
        </w:rPr>
        <w:t xml:space="preserve">entro del epígrafe de “Deudores comerciales y otras cuentas a cobrar” del Activo Corriente del Balance y más concretamente bajo la rúbrica de “Otros Deudores” el importe de </w:t>
      </w:r>
      <w:r w:rsidRPr="009F783D">
        <w:rPr>
          <w:rFonts w:ascii="Times New Roman" w:hAnsi="Times New Roman" w:cs="Times New Roman"/>
          <w:sz w:val="22"/>
          <w:szCs w:val="22"/>
          <w:lang w:val="es-ES_tradnl" w:eastAsia="es-ES_tradnl"/>
        </w:rPr>
        <w:t>2.156.267,49</w:t>
      </w:r>
      <w:r w:rsidR="00E85B3D" w:rsidRPr="009F783D">
        <w:rPr>
          <w:rFonts w:ascii="Times New Roman" w:hAnsi="Times New Roman" w:cs="Times New Roman"/>
          <w:sz w:val="22"/>
          <w:szCs w:val="22"/>
          <w:lang w:val="es-ES_tradnl" w:eastAsia="es-ES_tradnl"/>
        </w:rPr>
        <w:t xml:space="preserve"> euros, correspondiente a las autoliquidaciones del Impuesto General Indirecto Canario correspondientes a los ejercicios 2010, </w:t>
      </w:r>
      <w:r w:rsidRPr="009F783D">
        <w:rPr>
          <w:rFonts w:ascii="Times New Roman" w:hAnsi="Times New Roman" w:cs="Times New Roman"/>
          <w:sz w:val="22"/>
          <w:szCs w:val="22"/>
          <w:lang w:val="es-ES_tradnl" w:eastAsia="es-ES_tradnl"/>
        </w:rPr>
        <w:t>2016</w:t>
      </w:r>
      <w:r w:rsidR="00E85B3D" w:rsidRPr="009F783D">
        <w:rPr>
          <w:rFonts w:ascii="Times New Roman" w:hAnsi="Times New Roman" w:cs="Times New Roman"/>
          <w:sz w:val="22"/>
          <w:szCs w:val="22"/>
          <w:lang w:val="es-ES_tradnl" w:eastAsia="es-ES_tradnl"/>
        </w:rPr>
        <w:t xml:space="preserve">, </w:t>
      </w:r>
      <w:r w:rsidRPr="009F783D">
        <w:rPr>
          <w:rFonts w:ascii="Times New Roman" w:hAnsi="Times New Roman" w:cs="Times New Roman"/>
          <w:sz w:val="22"/>
          <w:szCs w:val="22"/>
          <w:lang w:val="es-ES_tradnl" w:eastAsia="es-ES_tradnl"/>
        </w:rPr>
        <w:t>2017</w:t>
      </w:r>
      <w:r w:rsidR="00E85B3D" w:rsidRPr="009F783D">
        <w:rPr>
          <w:rFonts w:ascii="Times New Roman" w:hAnsi="Times New Roman" w:cs="Times New Roman"/>
          <w:sz w:val="22"/>
          <w:szCs w:val="22"/>
          <w:lang w:val="es-ES_tradnl" w:eastAsia="es-ES_tradnl"/>
        </w:rPr>
        <w:t xml:space="preserve">, </w:t>
      </w:r>
      <w:r w:rsidRPr="009F783D">
        <w:rPr>
          <w:rFonts w:ascii="Times New Roman" w:hAnsi="Times New Roman" w:cs="Times New Roman"/>
          <w:sz w:val="22"/>
          <w:szCs w:val="22"/>
          <w:lang w:val="es-ES_tradnl" w:eastAsia="es-ES_tradnl"/>
        </w:rPr>
        <w:t xml:space="preserve">2018, 2019 </w:t>
      </w:r>
      <w:r w:rsidR="00E85B3D" w:rsidRPr="009F783D">
        <w:rPr>
          <w:rFonts w:ascii="Times New Roman" w:hAnsi="Times New Roman" w:cs="Times New Roman"/>
          <w:sz w:val="22"/>
          <w:szCs w:val="22"/>
          <w:lang w:val="es-ES_tradnl" w:eastAsia="es-ES_tradnl"/>
        </w:rPr>
        <w:t xml:space="preserve"> y </w:t>
      </w:r>
      <w:r w:rsidRPr="009F783D">
        <w:rPr>
          <w:rFonts w:ascii="Times New Roman" w:hAnsi="Times New Roman" w:cs="Times New Roman"/>
          <w:sz w:val="22"/>
          <w:szCs w:val="22"/>
          <w:lang w:val="es-ES_tradnl" w:eastAsia="es-ES_tradnl"/>
        </w:rPr>
        <w:t>2020, que figuran reclamadas en distintos procedimientos contenciosos administrativos</w:t>
      </w:r>
      <w:r>
        <w:rPr>
          <w:rFonts w:ascii="Times New Roman" w:hAnsi="Times New Roman" w:cs="Times New Roman"/>
          <w:color w:val="0000FF"/>
          <w:spacing w:val="-3"/>
          <w:sz w:val="22"/>
          <w:szCs w:val="22"/>
          <w:lang w:eastAsia="es-ES_tradnl"/>
        </w:rPr>
        <w:t>.</w:t>
      </w:r>
    </w:p>
    <w:p w:rsidR="0085082D" w:rsidRDefault="0085082D" w:rsidP="009F783D">
      <w:pPr>
        <w:tabs>
          <w:tab w:val="left" w:pos="-720"/>
          <w:tab w:val="left" w:pos="0"/>
        </w:tabs>
        <w:suppressAutoHyphens/>
        <w:ind w:left="720" w:right="-26"/>
        <w:jc w:val="both"/>
        <w:rPr>
          <w:rFonts w:ascii="Times New Roman" w:hAnsi="Times New Roman" w:cs="Times New Roman"/>
          <w:color w:val="0000FF"/>
          <w:spacing w:val="-3"/>
          <w:sz w:val="22"/>
          <w:szCs w:val="22"/>
          <w:lang w:eastAsia="es-ES_tradnl"/>
        </w:rPr>
      </w:pPr>
    </w:p>
    <w:p w:rsidR="0085082D" w:rsidRPr="003A4ABD" w:rsidRDefault="0076239A" w:rsidP="0085082D">
      <w:pPr>
        <w:shd w:val="clear" w:color="auto" w:fill="FFFFFF"/>
        <w:ind w:firstLine="709"/>
        <w:jc w:val="both"/>
        <w:rPr>
          <w:rFonts w:ascii="Times New Roman" w:hAnsi="Times New Roman" w:cs="Times New Roman"/>
          <w:b/>
          <w:bCs/>
          <w:spacing w:val="-3"/>
          <w:sz w:val="22"/>
          <w:szCs w:val="22"/>
          <w:u w:val="double"/>
          <w:lang w:val="es-ES_tradnl" w:eastAsia="es-ES_tradnl"/>
        </w:rPr>
      </w:pPr>
      <w:r>
        <w:rPr>
          <w:rFonts w:ascii="Times New Roman" w:hAnsi="Times New Roman" w:cs="Times New Roman"/>
          <w:b/>
          <w:bCs/>
          <w:spacing w:val="-3"/>
          <w:sz w:val="22"/>
          <w:szCs w:val="22"/>
          <w:lang w:val="es-ES_tradnl" w:eastAsia="es-ES_tradnl"/>
        </w:rPr>
        <w:t>10</w:t>
      </w:r>
      <w:r w:rsidR="0085082D" w:rsidRPr="003A4ABD">
        <w:rPr>
          <w:rFonts w:ascii="Times New Roman" w:hAnsi="Times New Roman" w:cs="Times New Roman"/>
          <w:b/>
          <w:bCs/>
          <w:spacing w:val="-3"/>
          <w:sz w:val="22"/>
          <w:szCs w:val="22"/>
          <w:lang w:val="es-ES_tradnl" w:eastAsia="es-ES_tradnl"/>
        </w:rPr>
        <w:t xml:space="preserve">. </w:t>
      </w:r>
      <w:r w:rsidR="0085082D">
        <w:rPr>
          <w:rFonts w:ascii="Times New Roman" w:hAnsi="Times New Roman" w:cs="Times New Roman"/>
          <w:b/>
          <w:bCs/>
          <w:spacing w:val="-3"/>
          <w:sz w:val="22"/>
          <w:szCs w:val="22"/>
          <w:u w:val="double"/>
          <w:lang w:val="es-ES_tradnl" w:eastAsia="es-ES_tradnl"/>
        </w:rPr>
        <w:t>INGRESOS Y GASTOS</w:t>
      </w:r>
    </w:p>
    <w:p w:rsidR="0085082D" w:rsidRPr="005678A9" w:rsidRDefault="0085082D" w:rsidP="0085082D">
      <w:pPr>
        <w:spacing w:line="276" w:lineRule="auto"/>
        <w:jc w:val="both"/>
        <w:rPr>
          <w:rFonts w:asciiTheme="majorHAnsi" w:hAnsiTheme="majorHAnsi"/>
          <w:color w:val="FF0000"/>
        </w:rPr>
      </w:pPr>
    </w:p>
    <w:p w:rsidR="0085082D" w:rsidRPr="0085082D" w:rsidRDefault="0085082D" w:rsidP="0085082D">
      <w:pPr>
        <w:shd w:val="clear" w:color="auto" w:fill="FFFFFF"/>
        <w:ind w:left="720" w:right="7"/>
        <w:jc w:val="both"/>
        <w:rPr>
          <w:rFonts w:ascii="Times New Roman" w:hAnsi="Times New Roman" w:cs="Times New Roman"/>
          <w:b/>
          <w:spacing w:val="-2"/>
          <w:sz w:val="22"/>
          <w:szCs w:val="22"/>
          <w:u w:val="single"/>
          <w:lang w:val="es-ES_tradnl" w:eastAsia="es-ES_tradnl"/>
        </w:rPr>
      </w:pPr>
      <w:r w:rsidRPr="0085082D">
        <w:rPr>
          <w:rFonts w:ascii="Times New Roman" w:hAnsi="Times New Roman" w:cs="Times New Roman"/>
          <w:b/>
          <w:spacing w:val="-2"/>
          <w:sz w:val="22"/>
          <w:szCs w:val="22"/>
          <w:u w:val="single"/>
          <w:lang w:val="es-ES_tradnl" w:eastAsia="es-ES_tradnl"/>
        </w:rPr>
        <w:t>Cargas sociales:</w:t>
      </w:r>
    </w:p>
    <w:p w:rsidR="0085082D" w:rsidRPr="0085082D" w:rsidRDefault="0085082D" w:rsidP="0085082D">
      <w:pPr>
        <w:shd w:val="clear" w:color="auto" w:fill="FFFFFF"/>
        <w:ind w:left="720" w:right="7"/>
        <w:jc w:val="both"/>
        <w:rPr>
          <w:rFonts w:ascii="Times New Roman" w:hAnsi="Times New Roman" w:cs="Times New Roman"/>
          <w:spacing w:val="-2"/>
          <w:sz w:val="22"/>
          <w:szCs w:val="22"/>
          <w:lang w:val="es-ES_tradnl" w:eastAsia="es-ES_tradnl"/>
        </w:rPr>
      </w:pPr>
    </w:p>
    <w:p w:rsidR="0085082D" w:rsidRPr="0085082D" w:rsidRDefault="0085082D" w:rsidP="0085082D">
      <w:pPr>
        <w:shd w:val="clear" w:color="auto" w:fill="FFFFFF"/>
        <w:ind w:left="720" w:right="7"/>
        <w:jc w:val="both"/>
        <w:rPr>
          <w:rFonts w:ascii="Times New Roman" w:hAnsi="Times New Roman" w:cs="Times New Roman"/>
          <w:spacing w:val="-2"/>
          <w:sz w:val="22"/>
          <w:szCs w:val="22"/>
          <w:lang w:val="es-ES_tradnl" w:eastAsia="es-ES_tradnl"/>
        </w:rPr>
      </w:pPr>
      <w:r w:rsidRPr="0085082D">
        <w:rPr>
          <w:rFonts w:ascii="Times New Roman" w:hAnsi="Times New Roman" w:cs="Times New Roman"/>
          <w:spacing w:val="-2"/>
          <w:sz w:val="22"/>
          <w:szCs w:val="22"/>
          <w:lang w:val="es-ES_tradnl" w:eastAsia="es-ES_tradnl"/>
        </w:rPr>
        <w:t>El detalle de las cargas sociales es el siguiente:</w:t>
      </w:r>
    </w:p>
    <w:p w:rsidR="0085082D" w:rsidRPr="005678A9" w:rsidRDefault="0085082D" w:rsidP="0085082D">
      <w:pPr>
        <w:spacing w:line="276" w:lineRule="auto"/>
        <w:jc w:val="both"/>
        <w:rPr>
          <w:rFonts w:asciiTheme="majorHAnsi" w:hAnsiTheme="majorHAnsi"/>
          <w:color w:val="FF0000"/>
        </w:rPr>
      </w:pPr>
    </w:p>
    <w:tbl>
      <w:tblPr>
        <w:tblW w:w="7020" w:type="dxa"/>
        <w:jc w:val="center"/>
        <w:tblInd w:w="70" w:type="dxa"/>
        <w:tblCellMar>
          <w:left w:w="70" w:type="dxa"/>
          <w:right w:w="70" w:type="dxa"/>
        </w:tblCellMar>
        <w:tblLook w:val="04A0"/>
      </w:tblPr>
      <w:tblGrid>
        <w:gridCol w:w="4020"/>
        <w:gridCol w:w="1460"/>
        <w:gridCol w:w="1540"/>
      </w:tblGrid>
      <w:tr w:rsidR="0085082D" w:rsidRPr="0085082D" w:rsidTr="0085082D">
        <w:trPr>
          <w:trHeight w:val="300"/>
          <w:jc w:val="center"/>
        </w:trPr>
        <w:tc>
          <w:tcPr>
            <w:tcW w:w="4020" w:type="dxa"/>
            <w:tcBorders>
              <w:top w:val="single" w:sz="4" w:space="0" w:color="auto"/>
              <w:left w:val="nil"/>
              <w:bottom w:val="single" w:sz="4" w:space="0" w:color="auto"/>
              <w:right w:val="nil"/>
            </w:tcBorders>
            <w:shd w:val="clear" w:color="000000" w:fill="E5E5E5"/>
            <w:vAlign w:val="center"/>
            <w:hideMark/>
          </w:tcPr>
          <w:p w:rsidR="0085082D" w:rsidRPr="0085082D" w:rsidRDefault="0085082D" w:rsidP="0085082D">
            <w:pPr>
              <w:rPr>
                <w:rFonts w:ascii="Cambria" w:hAnsi="Cambria" w:cs="Calibri"/>
                <w:sz w:val="18"/>
              </w:rPr>
            </w:pPr>
            <w:r w:rsidRPr="0085082D">
              <w:rPr>
                <w:rFonts w:ascii="Cambria" w:hAnsi="Cambria" w:cs="Calibri"/>
                <w:sz w:val="18"/>
              </w:rPr>
              <w:t> </w:t>
            </w:r>
          </w:p>
        </w:tc>
        <w:tc>
          <w:tcPr>
            <w:tcW w:w="1460" w:type="dxa"/>
            <w:tcBorders>
              <w:top w:val="single" w:sz="4" w:space="0" w:color="auto"/>
              <w:left w:val="nil"/>
              <w:bottom w:val="single" w:sz="4" w:space="0" w:color="auto"/>
              <w:right w:val="nil"/>
            </w:tcBorders>
            <w:shd w:val="clear" w:color="000000" w:fill="E5E5E5"/>
            <w:vAlign w:val="center"/>
            <w:hideMark/>
          </w:tcPr>
          <w:p w:rsidR="0085082D" w:rsidRPr="0085082D" w:rsidRDefault="0085082D" w:rsidP="0085082D">
            <w:pPr>
              <w:jc w:val="center"/>
              <w:rPr>
                <w:rFonts w:ascii="Cambria" w:hAnsi="Cambria" w:cs="Calibri"/>
                <w:b/>
                <w:bCs/>
                <w:sz w:val="18"/>
              </w:rPr>
            </w:pPr>
            <w:r w:rsidRPr="0085082D">
              <w:rPr>
                <w:rFonts w:ascii="Cambria" w:hAnsi="Cambria" w:cs="Calibri"/>
                <w:b/>
                <w:bCs/>
                <w:sz w:val="18"/>
              </w:rPr>
              <w:t>Año 2020</w:t>
            </w:r>
          </w:p>
        </w:tc>
        <w:tc>
          <w:tcPr>
            <w:tcW w:w="1540" w:type="dxa"/>
            <w:tcBorders>
              <w:top w:val="single" w:sz="4" w:space="0" w:color="auto"/>
              <w:left w:val="nil"/>
              <w:bottom w:val="single" w:sz="4" w:space="0" w:color="auto"/>
              <w:right w:val="nil"/>
            </w:tcBorders>
            <w:shd w:val="clear" w:color="000000" w:fill="E5E5E5"/>
            <w:vAlign w:val="center"/>
            <w:hideMark/>
          </w:tcPr>
          <w:p w:rsidR="0085082D" w:rsidRPr="0085082D" w:rsidRDefault="0085082D" w:rsidP="0085082D">
            <w:pPr>
              <w:jc w:val="center"/>
              <w:rPr>
                <w:rFonts w:ascii="Cambria" w:hAnsi="Cambria" w:cs="Calibri"/>
                <w:b/>
                <w:bCs/>
                <w:sz w:val="18"/>
              </w:rPr>
            </w:pPr>
            <w:r w:rsidRPr="0085082D">
              <w:rPr>
                <w:rFonts w:ascii="Cambria" w:hAnsi="Cambria" w:cs="Calibri"/>
                <w:b/>
                <w:bCs/>
                <w:sz w:val="18"/>
              </w:rPr>
              <w:t>Año 2019</w:t>
            </w:r>
          </w:p>
        </w:tc>
      </w:tr>
      <w:tr w:rsidR="0085082D" w:rsidRPr="0085082D" w:rsidTr="0085082D">
        <w:trPr>
          <w:trHeight w:val="300"/>
          <w:jc w:val="center"/>
        </w:trPr>
        <w:tc>
          <w:tcPr>
            <w:tcW w:w="4020" w:type="dxa"/>
            <w:tcBorders>
              <w:top w:val="nil"/>
              <w:left w:val="nil"/>
              <w:bottom w:val="nil"/>
              <w:right w:val="nil"/>
            </w:tcBorders>
            <w:shd w:val="clear" w:color="000000" w:fill="FFFFFF"/>
            <w:vAlign w:val="center"/>
            <w:hideMark/>
          </w:tcPr>
          <w:p w:rsidR="0085082D" w:rsidRPr="0085082D" w:rsidRDefault="0085082D" w:rsidP="0085082D">
            <w:pPr>
              <w:rPr>
                <w:rFonts w:ascii="Cambria" w:hAnsi="Cambria" w:cs="Calibri"/>
                <w:sz w:val="18"/>
              </w:rPr>
            </w:pPr>
            <w:r w:rsidRPr="0085082D">
              <w:rPr>
                <w:rFonts w:ascii="Cambria" w:hAnsi="Cambria" w:cs="Calibri"/>
                <w:sz w:val="18"/>
              </w:rPr>
              <w:t>Seguridad Social a cargo de la empresa</w:t>
            </w:r>
          </w:p>
        </w:tc>
        <w:tc>
          <w:tcPr>
            <w:tcW w:w="1460" w:type="dxa"/>
            <w:tcBorders>
              <w:top w:val="nil"/>
              <w:left w:val="nil"/>
              <w:bottom w:val="nil"/>
              <w:right w:val="nil"/>
            </w:tcBorders>
            <w:shd w:val="clear" w:color="000000" w:fill="FFFFFF"/>
            <w:vAlign w:val="center"/>
            <w:hideMark/>
          </w:tcPr>
          <w:p w:rsidR="0085082D" w:rsidRPr="0085082D" w:rsidRDefault="0085082D" w:rsidP="0085082D">
            <w:pPr>
              <w:jc w:val="center"/>
              <w:rPr>
                <w:rFonts w:ascii="Cambria" w:hAnsi="Cambria" w:cs="Calibri"/>
                <w:sz w:val="18"/>
              </w:rPr>
            </w:pPr>
            <w:r w:rsidRPr="0085082D">
              <w:rPr>
                <w:rFonts w:ascii="Cambria" w:hAnsi="Cambria" w:cs="Calibri"/>
                <w:sz w:val="18"/>
              </w:rPr>
              <w:t>736.495,98</w:t>
            </w:r>
          </w:p>
        </w:tc>
        <w:tc>
          <w:tcPr>
            <w:tcW w:w="1540" w:type="dxa"/>
            <w:tcBorders>
              <w:top w:val="nil"/>
              <w:left w:val="nil"/>
              <w:bottom w:val="nil"/>
              <w:right w:val="nil"/>
            </w:tcBorders>
            <w:shd w:val="clear" w:color="000000" w:fill="FFFFFF"/>
            <w:vAlign w:val="center"/>
            <w:hideMark/>
          </w:tcPr>
          <w:p w:rsidR="0085082D" w:rsidRPr="0085082D" w:rsidRDefault="0085082D" w:rsidP="0085082D">
            <w:pPr>
              <w:jc w:val="center"/>
              <w:rPr>
                <w:rFonts w:ascii="Cambria" w:hAnsi="Cambria" w:cs="Calibri"/>
                <w:sz w:val="18"/>
              </w:rPr>
            </w:pPr>
            <w:r w:rsidRPr="0085082D">
              <w:rPr>
                <w:rFonts w:ascii="Cambria" w:hAnsi="Cambria" w:cs="Calibri"/>
                <w:sz w:val="18"/>
              </w:rPr>
              <w:t>562.910,95</w:t>
            </w:r>
          </w:p>
        </w:tc>
      </w:tr>
      <w:tr w:rsidR="0085082D" w:rsidRPr="0085082D" w:rsidTr="0085082D">
        <w:trPr>
          <w:trHeight w:val="300"/>
          <w:jc w:val="center"/>
        </w:trPr>
        <w:tc>
          <w:tcPr>
            <w:tcW w:w="4020" w:type="dxa"/>
            <w:tcBorders>
              <w:top w:val="single" w:sz="4" w:space="0" w:color="auto"/>
              <w:left w:val="nil"/>
              <w:bottom w:val="single" w:sz="4" w:space="0" w:color="auto"/>
              <w:right w:val="nil"/>
            </w:tcBorders>
            <w:shd w:val="clear" w:color="000000" w:fill="FFFFFF"/>
            <w:vAlign w:val="center"/>
            <w:hideMark/>
          </w:tcPr>
          <w:p w:rsidR="0085082D" w:rsidRPr="0085082D" w:rsidRDefault="0085082D" w:rsidP="0085082D">
            <w:pPr>
              <w:rPr>
                <w:rFonts w:ascii="Cambria" w:hAnsi="Cambria" w:cs="Calibri"/>
                <w:b/>
                <w:bCs/>
                <w:sz w:val="18"/>
              </w:rPr>
            </w:pPr>
            <w:r w:rsidRPr="0085082D">
              <w:rPr>
                <w:rFonts w:ascii="Cambria" w:hAnsi="Cambria" w:cs="Calibri"/>
                <w:b/>
                <w:bCs/>
                <w:sz w:val="18"/>
              </w:rPr>
              <w:t>T O T A L</w:t>
            </w:r>
          </w:p>
        </w:tc>
        <w:tc>
          <w:tcPr>
            <w:tcW w:w="1460" w:type="dxa"/>
            <w:tcBorders>
              <w:top w:val="single" w:sz="4" w:space="0" w:color="auto"/>
              <w:left w:val="nil"/>
              <w:bottom w:val="single" w:sz="4" w:space="0" w:color="auto"/>
              <w:right w:val="nil"/>
            </w:tcBorders>
            <w:shd w:val="clear" w:color="000000" w:fill="FFFFFF"/>
            <w:vAlign w:val="center"/>
            <w:hideMark/>
          </w:tcPr>
          <w:p w:rsidR="0085082D" w:rsidRPr="0085082D" w:rsidRDefault="0085082D" w:rsidP="0085082D">
            <w:pPr>
              <w:jc w:val="center"/>
              <w:rPr>
                <w:rFonts w:ascii="Cambria" w:hAnsi="Cambria" w:cs="Calibri"/>
                <w:b/>
                <w:sz w:val="18"/>
              </w:rPr>
            </w:pPr>
            <w:r w:rsidRPr="0085082D">
              <w:rPr>
                <w:rFonts w:ascii="Cambria" w:hAnsi="Cambria" w:cs="Calibri"/>
                <w:b/>
                <w:sz w:val="18"/>
              </w:rPr>
              <w:t>736.495,98</w:t>
            </w:r>
          </w:p>
        </w:tc>
        <w:tc>
          <w:tcPr>
            <w:tcW w:w="1540" w:type="dxa"/>
            <w:tcBorders>
              <w:top w:val="single" w:sz="4" w:space="0" w:color="auto"/>
              <w:left w:val="nil"/>
              <w:bottom w:val="single" w:sz="4" w:space="0" w:color="auto"/>
              <w:right w:val="nil"/>
            </w:tcBorders>
            <w:shd w:val="clear" w:color="000000" w:fill="FFFFFF"/>
            <w:vAlign w:val="center"/>
            <w:hideMark/>
          </w:tcPr>
          <w:p w:rsidR="0085082D" w:rsidRPr="0085082D" w:rsidRDefault="0085082D" w:rsidP="0085082D">
            <w:pPr>
              <w:jc w:val="center"/>
              <w:rPr>
                <w:rFonts w:ascii="Cambria" w:hAnsi="Cambria" w:cs="Calibri"/>
                <w:b/>
                <w:sz w:val="18"/>
              </w:rPr>
            </w:pPr>
            <w:r w:rsidRPr="0085082D">
              <w:rPr>
                <w:rFonts w:ascii="Cambria" w:hAnsi="Cambria" w:cs="Calibri"/>
                <w:b/>
                <w:sz w:val="18"/>
              </w:rPr>
              <w:t>562.910,95</w:t>
            </w:r>
          </w:p>
        </w:tc>
      </w:tr>
    </w:tbl>
    <w:p w:rsidR="0085082D" w:rsidRPr="005678A9" w:rsidRDefault="0085082D" w:rsidP="0085082D">
      <w:pPr>
        <w:spacing w:line="276" w:lineRule="auto"/>
        <w:jc w:val="center"/>
        <w:rPr>
          <w:rFonts w:asciiTheme="majorHAnsi" w:hAnsiTheme="majorHAnsi"/>
          <w:color w:val="FF0000"/>
        </w:rPr>
      </w:pPr>
    </w:p>
    <w:p w:rsidR="0085082D" w:rsidRDefault="0085082D" w:rsidP="009F783D">
      <w:pPr>
        <w:tabs>
          <w:tab w:val="left" w:pos="-720"/>
          <w:tab w:val="left" w:pos="0"/>
        </w:tabs>
        <w:suppressAutoHyphens/>
        <w:ind w:left="720" w:right="-26"/>
        <w:jc w:val="both"/>
        <w:rPr>
          <w:rFonts w:ascii="Times New Roman" w:hAnsi="Times New Roman" w:cs="Times New Roman"/>
          <w:color w:val="0000FF"/>
          <w:spacing w:val="-3"/>
          <w:sz w:val="22"/>
          <w:szCs w:val="22"/>
          <w:lang w:eastAsia="es-ES_tradnl"/>
        </w:rPr>
      </w:pPr>
    </w:p>
    <w:p w:rsidR="0085082D" w:rsidRDefault="0085082D" w:rsidP="009F783D">
      <w:pPr>
        <w:tabs>
          <w:tab w:val="left" w:pos="-720"/>
          <w:tab w:val="left" w:pos="0"/>
        </w:tabs>
        <w:suppressAutoHyphens/>
        <w:ind w:left="720" w:right="-26"/>
        <w:jc w:val="both"/>
        <w:rPr>
          <w:rFonts w:ascii="Times New Roman" w:hAnsi="Times New Roman" w:cs="Times New Roman"/>
          <w:color w:val="0000FF"/>
          <w:spacing w:val="-3"/>
          <w:sz w:val="22"/>
          <w:szCs w:val="22"/>
          <w:lang w:eastAsia="es-ES_tradnl"/>
        </w:rPr>
      </w:pPr>
    </w:p>
    <w:p w:rsidR="002545FD" w:rsidRPr="002545FD" w:rsidRDefault="0076239A" w:rsidP="002545FD">
      <w:pPr>
        <w:shd w:val="clear" w:color="auto" w:fill="FFFFFF"/>
        <w:ind w:firstLine="709"/>
        <w:jc w:val="both"/>
        <w:rPr>
          <w:rFonts w:ascii="Times New Roman" w:hAnsi="Times New Roman" w:cs="Times New Roman"/>
          <w:b/>
          <w:bCs/>
          <w:spacing w:val="-3"/>
          <w:sz w:val="22"/>
          <w:szCs w:val="22"/>
          <w:lang w:val="es-ES_tradnl" w:eastAsia="es-ES_tradnl"/>
        </w:rPr>
      </w:pPr>
      <w:r>
        <w:rPr>
          <w:rFonts w:ascii="Times New Roman" w:hAnsi="Times New Roman" w:cs="Times New Roman"/>
          <w:b/>
          <w:bCs/>
          <w:spacing w:val="-3"/>
          <w:sz w:val="22"/>
          <w:szCs w:val="22"/>
          <w:lang w:val="es-ES_tradnl" w:eastAsia="es-ES_tradnl"/>
        </w:rPr>
        <w:t>11</w:t>
      </w:r>
      <w:r w:rsidR="002545FD" w:rsidRPr="002545FD">
        <w:rPr>
          <w:rFonts w:ascii="Times New Roman" w:hAnsi="Times New Roman" w:cs="Times New Roman"/>
          <w:b/>
          <w:bCs/>
          <w:spacing w:val="-3"/>
          <w:sz w:val="22"/>
          <w:szCs w:val="22"/>
          <w:lang w:val="es-ES_tradnl" w:eastAsia="es-ES_tradnl"/>
        </w:rPr>
        <w:t xml:space="preserve">. </w:t>
      </w:r>
      <w:r w:rsidR="002545FD" w:rsidRPr="002545FD">
        <w:rPr>
          <w:rFonts w:ascii="Times New Roman" w:hAnsi="Times New Roman" w:cs="Times New Roman"/>
          <w:b/>
          <w:bCs/>
          <w:spacing w:val="-3"/>
          <w:sz w:val="22"/>
          <w:szCs w:val="22"/>
          <w:u w:val="double"/>
          <w:lang w:val="es-ES_tradnl" w:eastAsia="es-ES_tradnl"/>
        </w:rPr>
        <w:t>SUBVENCIONES, DONACIONES Y LEGADOS</w:t>
      </w:r>
    </w:p>
    <w:p w:rsidR="002545FD" w:rsidRPr="00B759FD" w:rsidRDefault="002545FD" w:rsidP="002545FD">
      <w:pPr>
        <w:tabs>
          <w:tab w:val="left" w:pos="-720"/>
        </w:tabs>
        <w:suppressAutoHyphens/>
        <w:ind w:left="709" w:right="-26"/>
        <w:jc w:val="both"/>
        <w:rPr>
          <w:b/>
          <w:iCs/>
        </w:rPr>
      </w:pPr>
    </w:p>
    <w:p w:rsidR="002545FD" w:rsidRPr="001B37C5" w:rsidRDefault="002545FD" w:rsidP="001B37C5">
      <w:pPr>
        <w:shd w:val="clear" w:color="auto" w:fill="FFFFFF"/>
        <w:ind w:left="709"/>
        <w:jc w:val="both"/>
        <w:rPr>
          <w:rFonts w:ascii="Times New Roman" w:hAnsi="Times New Roman" w:cs="Times New Roman"/>
          <w:spacing w:val="-2"/>
          <w:sz w:val="22"/>
          <w:szCs w:val="22"/>
          <w:lang w:val="es-ES_tradnl" w:eastAsia="es-ES_tradnl"/>
        </w:rPr>
      </w:pPr>
      <w:r w:rsidRPr="001B37C5">
        <w:rPr>
          <w:rFonts w:ascii="Times New Roman" w:hAnsi="Times New Roman" w:cs="Times New Roman"/>
          <w:spacing w:val="-2"/>
          <w:sz w:val="22"/>
          <w:szCs w:val="22"/>
          <w:lang w:val="es-ES_tradnl" w:eastAsia="es-ES_tradnl"/>
        </w:rPr>
        <w:t>Las subvenciones recogidas en el capítulo de Subvenciones, donaciones y legados del Pasivo</w:t>
      </w:r>
      <w:r w:rsidR="006E351B" w:rsidRPr="001B37C5">
        <w:rPr>
          <w:rFonts w:ascii="Times New Roman" w:hAnsi="Times New Roman" w:cs="Times New Roman"/>
          <w:spacing w:val="-2"/>
          <w:sz w:val="22"/>
          <w:szCs w:val="22"/>
          <w:lang w:val="es-ES_tradnl" w:eastAsia="es-ES_tradnl"/>
        </w:rPr>
        <w:t xml:space="preserve"> del Balance  se corresponden con los bienes cedidos de domino público por el Excmo. Ayuntamiento de Las Palmas de Gran Canaria que figuran detallados en el Inmovilizado material, y que  ascienden globalmente en el presente ejercicio a 15.612.273,67 euros y a 15.727.789,43 euros en el ejercicio anterior, habiéndose imputado a resultados del ejercicio la cuantía de 115.515,76 euros y 115.189,03 euros en el ejercicio anterior.</w:t>
      </w:r>
    </w:p>
    <w:p w:rsidR="006E351B" w:rsidRDefault="006E351B" w:rsidP="002545FD">
      <w:pPr>
        <w:spacing w:line="276" w:lineRule="auto"/>
        <w:ind w:left="709"/>
        <w:jc w:val="both"/>
        <w:rPr>
          <w:rFonts w:ascii="Times New Roman" w:hAnsi="Times New Roman" w:cs="Times New Roman"/>
          <w:spacing w:val="-3"/>
          <w:sz w:val="22"/>
          <w:szCs w:val="22"/>
          <w:lang w:val="es-ES_tradnl" w:eastAsia="es-ES_tradnl"/>
        </w:rPr>
      </w:pPr>
    </w:p>
    <w:p w:rsidR="006E351B" w:rsidRPr="006E70F7" w:rsidRDefault="006E351B" w:rsidP="006E351B">
      <w:pPr>
        <w:shd w:val="clear" w:color="auto" w:fill="FFFFFF"/>
        <w:ind w:left="709"/>
        <w:jc w:val="both"/>
        <w:rPr>
          <w:rFonts w:ascii="Times New Roman" w:hAnsi="Times New Roman" w:cs="Times New Roman"/>
          <w:b/>
          <w:sz w:val="22"/>
          <w:szCs w:val="22"/>
          <w:u w:val="single"/>
          <w:lang w:val="es-ES_tradnl" w:eastAsia="es-ES_tradnl"/>
        </w:rPr>
      </w:pPr>
      <w:r w:rsidRPr="006E70F7">
        <w:rPr>
          <w:rFonts w:ascii="Times New Roman" w:hAnsi="Times New Roman" w:cs="Times New Roman"/>
          <w:b/>
          <w:sz w:val="22"/>
          <w:szCs w:val="22"/>
          <w:u w:val="single"/>
          <w:lang w:val="es-ES_tradnl" w:eastAsia="es-ES_tradnl"/>
        </w:rPr>
        <w:t>Bienes cedidos de Dominio Público</w:t>
      </w:r>
    </w:p>
    <w:p w:rsidR="006E351B" w:rsidRPr="001F6884" w:rsidRDefault="006E351B" w:rsidP="006E351B">
      <w:pPr>
        <w:shd w:val="clear" w:color="auto" w:fill="FFFFFF"/>
        <w:ind w:left="709"/>
        <w:jc w:val="both"/>
        <w:rPr>
          <w:rFonts w:ascii="Times New Roman" w:hAnsi="Times New Roman" w:cs="Times New Roman"/>
          <w:b/>
          <w:sz w:val="22"/>
          <w:szCs w:val="22"/>
          <w:lang w:val="es-ES_tradnl" w:eastAsia="es-ES_tradnl"/>
        </w:rPr>
      </w:pPr>
    </w:p>
    <w:p w:rsidR="006E351B" w:rsidRPr="001F6884"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En el  ejercicio 2012 se activó en el inmovilizado material, el Edificio Miller sito en la calle Simón Bolívar número 12 y el Castillo de Mata, sito en la carretera de Mata,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Ayuntamiento de Las Palmas de Gran Canaria en el momento de la cesión de los bienes. </w:t>
      </w:r>
    </w:p>
    <w:p w:rsidR="006E351B" w:rsidRPr="001F6884" w:rsidRDefault="006E351B" w:rsidP="006E351B">
      <w:pPr>
        <w:shd w:val="clear" w:color="auto" w:fill="FFFFFF"/>
        <w:ind w:left="720"/>
        <w:jc w:val="both"/>
        <w:rPr>
          <w:rFonts w:ascii="Times New Roman" w:hAnsi="Times New Roman" w:cs="Times New Roman"/>
          <w:spacing w:val="-2"/>
          <w:sz w:val="22"/>
          <w:szCs w:val="22"/>
          <w:lang w:val="es-ES_tradnl" w:eastAsia="es-ES_tradnl"/>
        </w:rPr>
      </w:pP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Pr>
          <w:rFonts w:ascii="Times New Roman" w:hAnsi="Times New Roman" w:cs="Times New Roman"/>
          <w:spacing w:val="-2"/>
          <w:sz w:val="22"/>
          <w:szCs w:val="22"/>
          <w:lang w:val="es-ES_tradnl" w:eastAsia="es-ES_tradnl"/>
        </w:rPr>
        <w:t>El importe de subvenciones, donaciones y legados pendiente</w:t>
      </w:r>
      <w:r w:rsidR="001B37C5">
        <w:rPr>
          <w:rFonts w:ascii="Times New Roman" w:hAnsi="Times New Roman" w:cs="Times New Roman"/>
          <w:spacing w:val="-2"/>
          <w:sz w:val="22"/>
          <w:szCs w:val="22"/>
          <w:lang w:val="es-ES_tradnl" w:eastAsia="es-ES_tradnl"/>
        </w:rPr>
        <w:t>s</w:t>
      </w:r>
      <w:r>
        <w:rPr>
          <w:rFonts w:ascii="Times New Roman" w:hAnsi="Times New Roman" w:cs="Times New Roman"/>
          <w:spacing w:val="-2"/>
          <w:sz w:val="22"/>
          <w:szCs w:val="22"/>
          <w:lang w:val="es-ES_tradnl" w:eastAsia="es-ES_tradnl"/>
        </w:rPr>
        <w:t xml:space="preserve"> a 31 de diciembre de 2020 de ambos inmuebles asciende a </w:t>
      </w:r>
      <w:r w:rsidR="001B37C5">
        <w:rPr>
          <w:rFonts w:ascii="Times New Roman" w:hAnsi="Times New Roman" w:cs="Times New Roman"/>
          <w:spacing w:val="-2"/>
          <w:sz w:val="22"/>
          <w:szCs w:val="22"/>
          <w:lang w:val="es-ES_tradnl" w:eastAsia="es-ES_tradnl"/>
        </w:rPr>
        <w:t>6.603.231,05 euros.</w:t>
      </w:r>
    </w:p>
    <w:p w:rsidR="00205A13" w:rsidRDefault="00205A13" w:rsidP="006E351B">
      <w:pPr>
        <w:shd w:val="clear" w:color="auto" w:fill="FFFFFF"/>
        <w:ind w:left="709"/>
        <w:jc w:val="both"/>
        <w:rPr>
          <w:rFonts w:ascii="Times New Roman" w:hAnsi="Times New Roman" w:cs="Times New Roman"/>
          <w:spacing w:val="-2"/>
          <w:sz w:val="22"/>
          <w:szCs w:val="22"/>
          <w:lang w:val="es-ES_tradnl" w:eastAsia="es-ES_tradnl"/>
        </w:rPr>
      </w:pPr>
    </w:p>
    <w:p w:rsidR="00205A13" w:rsidRPr="001F6884" w:rsidRDefault="00205A13" w:rsidP="006E351B">
      <w:pPr>
        <w:shd w:val="clear" w:color="auto" w:fill="FFFFFF"/>
        <w:ind w:left="709"/>
        <w:jc w:val="both"/>
        <w:rPr>
          <w:rFonts w:ascii="Times New Roman" w:hAnsi="Times New Roman" w:cs="Times New Roman"/>
          <w:spacing w:val="-2"/>
          <w:sz w:val="22"/>
          <w:szCs w:val="22"/>
          <w:lang w:val="es-ES_tradnl" w:eastAsia="es-ES_tradnl"/>
        </w:rPr>
      </w:pPr>
    </w:p>
    <w:p w:rsidR="006E351B" w:rsidRPr="001F6884"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En el ejercicio 2015 se activó en el inmovilizado material el conjunto Castillo de la Luz y Pabellón anexo sito en la calle Juan Rejón, Parque del Castillo de la Luz, en el distrito Isleta-Puerto-</w:t>
      </w:r>
      <w:proofErr w:type="spellStart"/>
      <w:r w:rsidRPr="001F6884">
        <w:rPr>
          <w:rFonts w:ascii="Times New Roman" w:hAnsi="Times New Roman" w:cs="Times New Roman"/>
          <w:spacing w:val="-2"/>
          <w:sz w:val="22"/>
          <w:szCs w:val="22"/>
          <w:lang w:val="es-ES_tradnl" w:eastAsia="es-ES_tradnl"/>
        </w:rPr>
        <w:t>Guanarteme</w:t>
      </w:r>
      <w:proofErr w:type="spellEnd"/>
      <w:r w:rsidRPr="001F6884">
        <w:rPr>
          <w:rFonts w:ascii="Times New Roman" w:hAnsi="Times New Roman" w:cs="Times New Roman"/>
          <w:spacing w:val="-2"/>
          <w:sz w:val="22"/>
          <w:szCs w:val="22"/>
          <w:lang w:val="es-ES_tradnl" w:eastAsia="es-ES_tradnl"/>
        </w:rPr>
        <w:t xml:space="preserve">; El equipamiento cultural el Molino de las Magnolias sito en la calle El Molino Tafira nº 1, en el distrito </w:t>
      </w:r>
      <w:proofErr w:type="spellStart"/>
      <w:r w:rsidRPr="001F6884">
        <w:rPr>
          <w:rFonts w:ascii="Times New Roman" w:hAnsi="Times New Roman" w:cs="Times New Roman"/>
          <w:spacing w:val="-2"/>
          <w:sz w:val="22"/>
          <w:szCs w:val="22"/>
          <w:lang w:val="es-ES_tradnl" w:eastAsia="es-ES_tradnl"/>
        </w:rPr>
        <w:t>Vegueta</w:t>
      </w:r>
      <w:proofErr w:type="spellEnd"/>
      <w:r w:rsidRPr="001F6884">
        <w:rPr>
          <w:rFonts w:ascii="Times New Roman" w:hAnsi="Times New Roman" w:cs="Times New Roman"/>
          <w:spacing w:val="-2"/>
          <w:sz w:val="22"/>
          <w:szCs w:val="22"/>
          <w:lang w:val="es-ES_tradnl" w:eastAsia="es-ES_tradnl"/>
        </w:rPr>
        <w:t xml:space="preserve">-Cono Sur y Tafira; y El Palacete </w:t>
      </w:r>
      <w:proofErr w:type="spellStart"/>
      <w:r w:rsidRPr="001F6884">
        <w:rPr>
          <w:rFonts w:ascii="Times New Roman" w:hAnsi="Times New Roman" w:cs="Times New Roman"/>
          <w:spacing w:val="-2"/>
          <w:sz w:val="22"/>
          <w:szCs w:val="22"/>
          <w:lang w:val="es-ES_tradnl" w:eastAsia="es-ES_tradnl"/>
        </w:rPr>
        <w:t>Rodriguez</w:t>
      </w:r>
      <w:proofErr w:type="spellEnd"/>
      <w:r w:rsidRPr="001F6884">
        <w:rPr>
          <w:rFonts w:ascii="Times New Roman" w:hAnsi="Times New Roman" w:cs="Times New Roman"/>
          <w:spacing w:val="-2"/>
          <w:sz w:val="22"/>
          <w:szCs w:val="22"/>
          <w:lang w:val="es-ES_tradnl" w:eastAsia="es-ES_tradnl"/>
        </w:rPr>
        <w:t xml:space="preserve"> </w:t>
      </w:r>
      <w:proofErr w:type="spellStart"/>
      <w:r w:rsidRPr="001F6884">
        <w:rPr>
          <w:rFonts w:ascii="Times New Roman" w:hAnsi="Times New Roman" w:cs="Times New Roman"/>
          <w:spacing w:val="-2"/>
          <w:sz w:val="22"/>
          <w:szCs w:val="22"/>
          <w:lang w:val="es-ES_tradnl" w:eastAsia="es-ES_tradnl"/>
        </w:rPr>
        <w:t>Quegles</w:t>
      </w:r>
      <w:proofErr w:type="spellEnd"/>
      <w:r w:rsidRPr="001F6884">
        <w:rPr>
          <w:rFonts w:ascii="Times New Roman" w:hAnsi="Times New Roman" w:cs="Times New Roman"/>
          <w:spacing w:val="-2"/>
          <w:sz w:val="22"/>
          <w:szCs w:val="22"/>
          <w:lang w:val="es-ES_tradnl" w:eastAsia="es-ES_tradnl"/>
        </w:rPr>
        <w:t xml:space="preserve"> sito en la calle Benito Pérez </w:t>
      </w:r>
      <w:proofErr w:type="spellStart"/>
      <w:r w:rsidRPr="001F6884">
        <w:rPr>
          <w:rFonts w:ascii="Times New Roman" w:hAnsi="Times New Roman" w:cs="Times New Roman"/>
          <w:spacing w:val="-2"/>
          <w:sz w:val="22"/>
          <w:szCs w:val="22"/>
          <w:lang w:val="es-ES_tradnl" w:eastAsia="es-ES_tradnl"/>
        </w:rPr>
        <w:t>Galdos</w:t>
      </w:r>
      <w:proofErr w:type="spellEnd"/>
      <w:r w:rsidRPr="001F6884">
        <w:rPr>
          <w:rFonts w:ascii="Times New Roman" w:hAnsi="Times New Roman" w:cs="Times New Roman"/>
          <w:spacing w:val="-2"/>
          <w:sz w:val="22"/>
          <w:szCs w:val="22"/>
          <w:lang w:val="es-ES_tradnl" w:eastAsia="es-ES_tradnl"/>
        </w:rPr>
        <w:t xml:space="preserve">, escritor nº 4, en el distrito Centro de Las Palmas de Gran Canaria;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Ayuntamiento de Las Palmas de Gran Canaria en el momento de la cesión de los bienes. </w:t>
      </w: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1F6884">
        <w:rPr>
          <w:rFonts w:ascii="Times New Roman" w:hAnsi="Times New Roman" w:cs="Times New Roman"/>
          <w:spacing w:val="-2"/>
          <w:sz w:val="22"/>
          <w:szCs w:val="22"/>
          <w:lang w:val="es-ES_tradnl" w:eastAsia="es-ES_tradnl"/>
        </w:rPr>
        <w:t xml:space="preserve">Dichas activaciones realizas en el ejercicio 2015, del Conjunto Castillo de la Luz y Pabellón anexo, del equipamiento cultural el Molino de las Magnolias y del Palacete </w:t>
      </w:r>
      <w:proofErr w:type="spellStart"/>
      <w:r w:rsidRPr="001F6884">
        <w:rPr>
          <w:rFonts w:ascii="Times New Roman" w:hAnsi="Times New Roman" w:cs="Times New Roman"/>
          <w:spacing w:val="-2"/>
          <w:sz w:val="22"/>
          <w:szCs w:val="22"/>
          <w:lang w:val="es-ES_tradnl" w:eastAsia="es-ES_tradnl"/>
        </w:rPr>
        <w:t>Rodriguez</w:t>
      </w:r>
      <w:proofErr w:type="spellEnd"/>
      <w:r w:rsidRPr="001F6884">
        <w:rPr>
          <w:rFonts w:ascii="Times New Roman" w:hAnsi="Times New Roman" w:cs="Times New Roman"/>
          <w:spacing w:val="-2"/>
          <w:sz w:val="22"/>
          <w:szCs w:val="22"/>
          <w:lang w:val="es-ES_tradnl" w:eastAsia="es-ES_tradnl"/>
        </w:rPr>
        <w:t xml:space="preserve"> </w:t>
      </w:r>
      <w:proofErr w:type="spellStart"/>
      <w:r w:rsidRPr="001F6884">
        <w:rPr>
          <w:rFonts w:ascii="Times New Roman" w:hAnsi="Times New Roman" w:cs="Times New Roman"/>
          <w:spacing w:val="-2"/>
          <w:sz w:val="22"/>
          <w:szCs w:val="22"/>
          <w:lang w:val="es-ES_tradnl" w:eastAsia="es-ES_tradnl"/>
        </w:rPr>
        <w:t>Quegles</w:t>
      </w:r>
      <w:proofErr w:type="spellEnd"/>
      <w:r w:rsidRPr="001F6884">
        <w:rPr>
          <w:rFonts w:ascii="Times New Roman" w:hAnsi="Times New Roman" w:cs="Times New Roman"/>
          <w:spacing w:val="-2"/>
          <w:sz w:val="22"/>
          <w:szCs w:val="22"/>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1F6884">
        <w:rPr>
          <w:rFonts w:ascii="Times New Roman" w:hAnsi="Times New Roman" w:cs="Times New Roman"/>
          <w:spacing w:val="-2"/>
          <w:sz w:val="22"/>
          <w:szCs w:val="22"/>
          <w:lang w:val="es-ES_tradnl" w:eastAsia="es-ES_tradnl"/>
        </w:rPr>
        <w:t>Promocion</w:t>
      </w:r>
      <w:proofErr w:type="spellEnd"/>
      <w:r w:rsidRPr="001F6884">
        <w:rPr>
          <w:rFonts w:ascii="Times New Roman" w:hAnsi="Times New Roman" w:cs="Times New Roman"/>
          <w:spacing w:val="-2"/>
          <w:sz w:val="22"/>
          <w:szCs w:val="22"/>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w:t>
      </w:r>
      <w:proofErr w:type="spellStart"/>
      <w:r w:rsidRPr="001F6884">
        <w:rPr>
          <w:rFonts w:ascii="Times New Roman" w:hAnsi="Times New Roman" w:cs="Times New Roman"/>
          <w:spacing w:val="-2"/>
          <w:sz w:val="22"/>
          <w:szCs w:val="22"/>
          <w:lang w:val="es-ES_tradnl" w:eastAsia="es-ES_tradnl"/>
        </w:rPr>
        <w:t>Rodriguez</w:t>
      </w:r>
      <w:proofErr w:type="spellEnd"/>
      <w:r w:rsidRPr="001F6884">
        <w:rPr>
          <w:rFonts w:ascii="Times New Roman" w:hAnsi="Times New Roman" w:cs="Times New Roman"/>
          <w:spacing w:val="-2"/>
          <w:sz w:val="22"/>
          <w:szCs w:val="22"/>
          <w:lang w:val="es-ES_tradnl" w:eastAsia="es-ES_tradnl"/>
        </w:rPr>
        <w:t xml:space="preserve"> </w:t>
      </w:r>
      <w:proofErr w:type="spellStart"/>
      <w:r w:rsidRPr="001F6884">
        <w:rPr>
          <w:rFonts w:ascii="Times New Roman" w:hAnsi="Times New Roman" w:cs="Times New Roman"/>
          <w:spacing w:val="-2"/>
          <w:sz w:val="22"/>
          <w:szCs w:val="22"/>
          <w:lang w:val="es-ES_tradnl" w:eastAsia="es-ES_tradnl"/>
        </w:rPr>
        <w:t>Quegles</w:t>
      </w:r>
      <w:proofErr w:type="spellEnd"/>
      <w:r w:rsidRPr="001F6884">
        <w:rPr>
          <w:rFonts w:ascii="Times New Roman" w:hAnsi="Times New Roman" w:cs="Times New Roman"/>
          <w:spacing w:val="-2"/>
          <w:sz w:val="22"/>
          <w:szCs w:val="22"/>
          <w:lang w:val="es-ES_tradnl" w:eastAsia="es-ES_tradnl"/>
        </w:rPr>
        <w:t xml:space="preserve"> se adscribió con la Resolución número 11304/2015 de fecha 09 de mayo 2015.</w:t>
      </w:r>
    </w:p>
    <w:p w:rsidR="006E351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rsidR="001B37C5" w:rsidRPr="001F6884" w:rsidRDefault="001B37C5" w:rsidP="001B37C5">
      <w:pPr>
        <w:shd w:val="clear" w:color="auto" w:fill="FFFFFF"/>
        <w:ind w:left="709"/>
        <w:jc w:val="both"/>
        <w:rPr>
          <w:rFonts w:ascii="Times New Roman" w:hAnsi="Times New Roman" w:cs="Times New Roman"/>
          <w:spacing w:val="-2"/>
          <w:sz w:val="22"/>
          <w:szCs w:val="22"/>
          <w:lang w:val="es-ES_tradnl" w:eastAsia="es-ES_tradnl"/>
        </w:rPr>
      </w:pPr>
      <w:r>
        <w:rPr>
          <w:rFonts w:ascii="Times New Roman" w:hAnsi="Times New Roman" w:cs="Times New Roman"/>
          <w:spacing w:val="-2"/>
          <w:sz w:val="22"/>
          <w:szCs w:val="22"/>
          <w:lang w:val="es-ES_tradnl" w:eastAsia="es-ES_tradnl"/>
        </w:rPr>
        <w:t>El importe de subvenciones, donaciones y legados pendientes a 31 de diciembre de 2020 de los inmuebles descritos en el apartado anterior asciende a 9.009.042,62 euros.</w:t>
      </w:r>
    </w:p>
    <w:p w:rsidR="009B4B09" w:rsidRPr="002545FD" w:rsidRDefault="009B4B09" w:rsidP="009B4B09">
      <w:pPr>
        <w:shd w:val="clear" w:color="auto" w:fill="FFFFFF"/>
        <w:ind w:left="720" w:right="7"/>
        <w:jc w:val="both"/>
        <w:rPr>
          <w:rFonts w:ascii="Times New Roman" w:hAnsi="Times New Roman" w:cs="Times New Roman"/>
          <w:color w:val="0000FF"/>
          <w:spacing w:val="-3"/>
          <w:sz w:val="22"/>
          <w:szCs w:val="22"/>
          <w:lang w:eastAsia="es-ES_tradnl"/>
        </w:rPr>
      </w:pPr>
    </w:p>
    <w:p w:rsidR="002545FD" w:rsidRDefault="002545FD" w:rsidP="009B4B09">
      <w:pPr>
        <w:shd w:val="clear" w:color="auto" w:fill="FFFFFF"/>
        <w:ind w:left="720" w:right="7"/>
        <w:jc w:val="both"/>
        <w:rPr>
          <w:rFonts w:ascii="Times New Roman" w:hAnsi="Times New Roman" w:cs="Times New Roman"/>
          <w:color w:val="0000FF"/>
          <w:spacing w:val="-3"/>
          <w:sz w:val="22"/>
          <w:szCs w:val="22"/>
          <w:lang w:val="es-ES_tradnl" w:eastAsia="es-ES_tradnl"/>
        </w:rPr>
      </w:pPr>
    </w:p>
    <w:p w:rsidR="006C0067" w:rsidRPr="003A4ABD" w:rsidRDefault="0076239A" w:rsidP="00934221">
      <w:pPr>
        <w:shd w:val="clear" w:color="auto" w:fill="FFFFFF"/>
        <w:ind w:firstLine="709"/>
        <w:jc w:val="both"/>
        <w:rPr>
          <w:rFonts w:ascii="Times New Roman" w:hAnsi="Times New Roman" w:cs="Times New Roman"/>
          <w:b/>
          <w:bCs/>
          <w:spacing w:val="-3"/>
          <w:sz w:val="22"/>
          <w:szCs w:val="22"/>
          <w:u w:val="double"/>
          <w:lang w:val="es-ES_tradnl" w:eastAsia="es-ES_tradnl"/>
        </w:rPr>
      </w:pPr>
      <w:r>
        <w:rPr>
          <w:rFonts w:ascii="Times New Roman" w:hAnsi="Times New Roman" w:cs="Times New Roman"/>
          <w:b/>
          <w:bCs/>
          <w:spacing w:val="-3"/>
          <w:sz w:val="22"/>
          <w:szCs w:val="22"/>
          <w:lang w:val="es-ES_tradnl" w:eastAsia="es-ES_tradnl"/>
        </w:rPr>
        <w:t>12</w:t>
      </w:r>
      <w:r w:rsidR="006C0067" w:rsidRPr="003A4ABD">
        <w:rPr>
          <w:rFonts w:ascii="Times New Roman" w:hAnsi="Times New Roman" w:cs="Times New Roman"/>
          <w:b/>
          <w:bCs/>
          <w:spacing w:val="-3"/>
          <w:sz w:val="22"/>
          <w:szCs w:val="22"/>
          <w:lang w:val="es-ES_tradnl" w:eastAsia="es-ES_tradnl"/>
        </w:rPr>
        <w:t xml:space="preserve">. </w:t>
      </w:r>
      <w:r w:rsidR="006C0067" w:rsidRPr="003A4ABD">
        <w:rPr>
          <w:rFonts w:ascii="Times New Roman" w:hAnsi="Times New Roman" w:cs="Times New Roman"/>
          <w:b/>
          <w:bCs/>
          <w:spacing w:val="-3"/>
          <w:sz w:val="22"/>
          <w:szCs w:val="22"/>
          <w:u w:val="double"/>
          <w:lang w:val="es-ES_tradnl" w:eastAsia="es-ES_tradnl"/>
        </w:rPr>
        <w:t>OPERACIONES CON PARTES VINCULADAS</w:t>
      </w:r>
    </w:p>
    <w:p w:rsidR="006C0067" w:rsidRPr="003A4ABD" w:rsidRDefault="006C0067" w:rsidP="006C0067">
      <w:pPr>
        <w:shd w:val="clear" w:color="auto" w:fill="FFFFFF"/>
        <w:ind w:left="1249"/>
        <w:jc w:val="both"/>
        <w:rPr>
          <w:rFonts w:ascii="Times New Roman" w:hAnsi="Times New Roman" w:cs="Times New Roman"/>
          <w:sz w:val="22"/>
          <w:szCs w:val="22"/>
        </w:rPr>
      </w:pPr>
    </w:p>
    <w:p w:rsidR="00DE49BA" w:rsidRPr="00137FCE" w:rsidRDefault="00DE49BA" w:rsidP="00DE49BA">
      <w:pPr>
        <w:shd w:val="clear" w:color="auto" w:fill="FFFFFF"/>
        <w:ind w:left="720" w:right="22"/>
        <w:jc w:val="both"/>
        <w:rPr>
          <w:rFonts w:ascii="Times New Roman" w:hAnsi="Times New Roman" w:cs="Times New Roman"/>
          <w:sz w:val="22"/>
          <w:szCs w:val="22"/>
          <w:lang w:val="es-ES_tradnl" w:eastAsia="es-ES_tradnl"/>
        </w:rPr>
      </w:pPr>
      <w:r w:rsidRPr="003A4ABD">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3A4ABD">
        <w:rPr>
          <w:rFonts w:ascii="Times New Roman" w:hAnsi="Times New Roman" w:cs="Times New Roman"/>
          <w:spacing w:val="-1"/>
          <w:sz w:val="22"/>
          <w:szCs w:val="22"/>
          <w:lang w:val="es-ES_tradnl" w:eastAsia="es-ES_tradnl"/>
        </w:rPr>
        <w:t xml:space="preserve">que figura en el capítulo de Ingresos de la Cuenta de Pérdidas y Ganancias de Pymes, los importes detallados a continuación, en concepto de Transferencias corrientes y Subvenciones </w:t>
      </w:r>
      <w:r w:rsidRPr="003A4ABD">
        <w:rPr>
          <w:rFonts w:ascii="Times New Roman" w:hAnsi="Times New Roman" w:cs="Times New Roman"/>
          <w:sz w:val="22"/>
          <w:szCs w:val="22"/>
          <w:lang w:val="es-ES_tradnl" w:eastAsia="es-ES_tradnl"/>
        </w:rPr>
        <w:t>procedentes del socio único, el Excmo. Ayuntamiento de Las Palmas de Gran Canaria, habida cuenta de que dichas transferencias no se destinan exclusivamente a financiar gastos de funcionamiento de la Sociedad:</w:t>
      </w:r>
    </w:p>
    <w:p w:rsidR="0028650E" w:rsidRPr="00137FCE" w:rsidRDefault="0028650E" w:rsidP="00DE49BA">
      <w:pPr>
        <w:shd w:val="clear" w:color="auto" w:fill="FFFFFF"/>
        <w:ind w:left="720" w:right="22"/>
        <w:jc w:val="both"/>
        <w:rPr>
          <w:rFonts w:ascii="Times New Roman" w:hAnsi="Times New Roman" w:cs="Times New Roman"/>
          <w:sz w:val="22"/>
          <w:szCs w:val="22"/>
          <w:lang w:val="es-ES_tradnl" w:eastAsia="es-ES_tradnl"/>
        </w:rPr>
      </w:pPr>
    </w:p>
    <w:bookmarkStart w:id="10" w:name="_MON_1647757941"/>
    <w:bookmarkStart w:id="11" w:name="_MON_1633347284"/>
    <w:bookmarkEnd w:id="10"/>
    <w:bookmarkEnd w:id="11"/>
    <w:bookmarkStart w:id="12" w:name="_MON_1633347349"/>
    <w:bookmarkEnd w:id="12"/>
    <w:p w:rsidR="0028650E" w:rsidRPr="00137FCE" w:rsidRDefault="00137FCE" w:rsidP="0028650E">
      <w:pPr>
        <w:shd w:val="clear" w:color="auto" w:fill="FFFFFF"/>
        <w:ind w:left="720" w:right="22"/>
        <w:jc w:val="center"/>
        <w:rPr>
          <w:rFonts w:ascii="Times New Roman" w:hAnsi="Times New Roman" w:cs="Times New Roman"/>
          <w:sz w:val="22"/>
          <w:szCs w:val="22"/>
          <w:lang w:val="es-ES_tradnl" w:eastAsia="es-ES_tradnl"/>
        </w:rPr>
      </w:pPr>
      <w:r w:rsidRPr="00137FCE">
        <w:rPr>
          <w:rFonts w:ascii="Times New Roman" w:hAnsi="Times New Roman" w:cs="Times New Roman"/>
          <w:sz w:val="22"/>
          <w:szCs w:val="22"/>
          <w:lang w:val="es-ES_tradnl" w:eastAsia="es-ES_tradnl"/>
        </w:rPr>
        <w:object w:dxaOrig="5227" w:dyaOrig="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3.75pt" o:ole="">
            <v:imagedata r:id="rId8" o:title=""/>
          </v:shape>
          <o:OLEObject Type="Embed" ProgID="Excel.Sheet.12" ShapeID="_x0000_i1025" DrawAspect="Content" ObjectID="_1678524995" r:id="rId9"/>
        </w:object>
      </w:r>
    </w:p>
    <w:p w:rsidR="0028650E" w:rsidRPr="00137FCE" w:rsidRDefault="0028650E" w:rsidP="00DE49BA">
      <w:pPr>
        <w:shd w:val="clear" w:color="auto" w:fill="FFFFFF"/>
        <w:ind w:left="720" w:right="22"/>
        <w:jc w:val="both"/>
        <w:rPr>
          <w:rFonts w:ascii="Times New Roman" w:hAnsi="Times New Roman" w:cs="Times New Roman"/>
          <w:sz w:val="22"/>
          <w:szCs w:val="22"/>
          <w:lang w:val="es-ES_tradnl" w:eastAsia="es-ES_tradnl"/>
        </w:rPr>
      </w:pPr>
    </w:p>
    <w:p w:rsidR="00382E6B" w:rsidRPr="00321047" w:rsidRDefault="00382E6B" w:rsidP="006C0067">
      <w:pPr>
        <w:shd w:val="clear" w:color="auto" w:fill="FFFFFF"/>
        <w:ind w:left="720" w:right="22"/>
        <w:jc w:val="both"/>
        <w:rPr>
          <w:rFonts w:ascii="Times New Roman" w:hAnsi="Times New Roman" w:cs="Times New Roman"/>
          <w:color w:val="0000FF"/>
          <w:sz w:val="22"/>
          <w:szCs w:val="22"/>
          <w:lang w:val="es-ES_tradnl" w:eastAsia="es-ES_tradnl"/>
        </w:rPr>
      </w:pPr>
    </w:p>
    <w:p w:rsidR="006671F2" w:rsidRPr="00714748" w:rsidRDefault="00047975"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r w:rsidRPr="00714748">
        <w:rPr>
          <w:rFonts w:ascii="Times New Roman" w:hAnsi="Times New Roman" w:cs="Times New Roman"/>
          <w:spacing w:val="-3"/>
          <w:sz w:val="22"/>
          <w:szCs w:val="22"/>
          <w:lang w:val="es-ES_tradnl" w:eastAsia="es-ES_tradnl"/>
        </w:rPr>
        <w:t>Al cierre del</w:t>
      </w:r>
      <w:r w:rsidR="00DE49BA" w:rsidRPr="00714748">
        <w:rPr>
          <w:rFonts w:ascii="Times New Roman" w:hAnsi="Times New Roman" w:cs="Times New Roman"/>
          <w:spacing w:val="-3"/>
          <w:sz w:val="22"/>
          <w:szCs w:val="22"/>
          <w:lang w:val="es-ES_tradnl" w:eastAsia="es-ES_tradnl"/>
        </w:rPr>
        <w:t xml:space="preserve"> ejercic</w:t>
      </w:r>
      <w:r w:rsidRPr="00714748">
        <w:rPr>
          <w:rFonts w:ascii="Times New Roman" w:hAnsi="Times New Roman" w:cs="Times New Roman"/>
          <w:spacing w:val="-3"/>
          <w:sz w:val="22"/>
          <w:szCs w:val="22"/>
          <w:lang w:val="es-ES_tradnl" w:eastAsia="es-ES_tradnl"/>
        </w:rPr>
        <w:t>io</w:t>
      </w:r>
      <w:r w:rsidR="00DE49BA" w:rsidRPr="00714748">
        <w:rPr>
          <w:rFonts w:ascii="Times New Roman" w:hAnsi="Times New Roman" w:cs="Times New Roman"/>
          <w:spacing w:val="-3"/>
          <w:sz w:val="22"/>
          <w:szCs w:val="22"/>
          <w:lang w:val="es-ES_tradnl" w:eastAsia="es-ES_tradnl"/>
        </w:rPr>
        <w:t xml:space="preserve"> </w:t>
      </w:r>
      <w:r w:rsidR="003A4ABD" w:rsidRPr="00714748">
        <w:rPr>
          <w:rFonts w:ascii="Times New Roman" w:hAnsi="Times New Roman" w:cs="Times New Roman"/>
          <w:spacing w:val="-3"/>
          <w:sz w:val="22"/>
          <w:szCs w:val="22"/>
          <w:lang w:val="es-ES_tradnl" w:eastAsia="es-ES_tradnl"/>
        </w:rPr>
        <w:t>2020</w:t>
      </w:r>
      <w:r w:rsidR="00DE49BA" w:rsidRPr="00714748">
        <w:rPr>
          <w:rFonts w:ascii="Times New Roman" w:hAnsi="Times New Roman" w:cs="Times New Roman"/>
          <w:spacing w:val="-3"/>
          <w:sz w:val="22"/>
          <w:szCs w:val="22"/>
          <w:lang w:val="es-ES_tradnl" w:eastAsia="es-ES_tradnl"/>
        </w:rPr>
        <w:t xml:space="preserve"> y anterior, en el balance de la Sociedad se recogen los importes que a continuación se detallan, destacando la existencia de deudas con </w:t>
      </w:r>
      <w:r w:rsidR="004573D6" w:rsidRPr="00714748">
        <w:rPr>
          <w:rFonts w:ascii="Times New Roman" w:hAnsi="Times New Roman" w:cs="Times New Roman"/>
          <w:spacing w:val="-3"/>
          <w:sz w:val="22"/>
          <w:szCs w:val="22"/>
          <w:lang w:val="es-ES_tradnl" w:eastAsia="es-ES_tradnl"/>
        </w:rPr>
        <w:t>el socio único</w:t>
      </w:r>
      <w:r w:rsidR="00DE49BA" w:rsidRPr="00714748">
        <w:rPr>
          <w:rFonts w:ascii="Times New Roman" w:hAnsi="Times New Roman" w:cs="Times New Roman"/>
          <w:spacing w:val="-3"/>
          <w:sz w:val="22"/>
          <w:szCs w:val="22"/>
          <w:lang w:val="es-ES_tradnl" w:eastAsia="es-ES_tradnl"/>
        </w:rPr>
        <w:t>, tanto al largo como a corto plazo. Los saldos</w:t>
      </w:r>
      <w:r w:rsidRPr="00714748">
        <w:rPr>
          <w:rFonts w:ascii="Times New Roman" w:hAnsi="Times New Roman" w:cs="Times New Roman"/>
          <w:spacing w:val="-3"/>
          <w:sz w:val="22"/>
          <w:szCs w:val="22"/>
          <w:lang w:val="es-ES_tradnl" w:eastAsia="es-ES_tradnl"/>
        </w:rPr>
        <w:t xml:space="preserve"> al final de los ejercicios </w:t>
      </w:r>
      <w:r w:rsidR="007279D5" w:rsidRPr="00714748">
        <w:rPr>
          <w:rFonts w:ascii="Times New Roman" w:hAnsi="Times New Roman" w:cs="Times New Roman"/>
          <w:spacing w:val="-3"/>
          <w:sz w:val="22"/>
          <w:szCs w:val="22"/>
          <w:lang w:val="es-ES_tradnl" w:eastAsia="es-ES_tradnl"/>
        </w:rPr>
        <w:t>2020</w:t>
      </w:r>
      <w:r w:rsidR="00DE49BA" w:rsidRPr="00714748">
        <w:rPr>
          <w:rFonts w:ascii="Times New Roman" w:hAnsi="Times New Roman" w:cs="Times New Roman"/>
          <w:spacing w:val="-3"/>
          <w:sz w:val="22"/>
          <w:szCs w:val="22"/>
          <w:lang w:val="es-ES_tradnl" w:eastAsia="es-ES_tradnl"/>
        </w:rPr>
        <w:t xml:space="preserve"> y anterior son los siguientes:</w:t>
      </w:r>
    </w:p>
    <w:p w:rsidR="00DE49BA" w:rsidRPr="00714748" w:rsidRDefault="00DE49BA"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r w:rsidRPr="00714748">
        <w:rPr>
          <w:rFonts w:ascii="Times New Roman" w:hAnsi="Times New Roman" w:cs="Times New Roman"/>
          <w:spacing w:val="-3"/>
          <w:sz w:val="22"/>
          <w:szCs w:val="22"/>
          <w:lang w:val="es-ES_tradnl" w:eastAsia="es-ES_tradnl"/>
        </w:rPr>
        <w:t xml:space="preserve"> </w:t>
      </w: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2"/>
        <w:gridCol w:w="957"/>
        <w:gridCol w:w="927"/>
        <w:gridCol w:w="957"/>
        <w:gridCol w:w="927"/>
      </w:tblGrid>
      <w:tr w:rsidR="006671F2" w:rsidRPr="00714748" w:rsidTr="008B36DE">
        <w:trPr>
          <w:jc w:val="center"/>
        </w:trPr>
        <w:tc>
          <w:tcPr>
            <w:tcW w:w="0" w:type="auto"/>
            <w:tcBorders>
              <w:top w:val="nil"/>
              <w:left w:val="nil"/>
              <w:bottom w:val="nil"/>
            </w:tcBorders>
          </w:tcPr>
          <w:p w:rsidR="006671F2" w:rsidRPr="00714748" w:rsidRDefault="006671F2" w:rsidP="008D4649">
            <w:pPr>
              <w:tabs>
                <w:tab w:val="left" w:pos="-720"/>
              </w:tabs>
              <w:suppressAutoHyphens/>
              <w:spacing w:beforeLines="20" w:after="20"/>
              <w:ind w:right="-28"/>
              <w:jc w:val="both"/>
              <w:rPr>
                <w:rFonts w:ascii="Garamond" w:hAnsi="Garamond" w:cs="Times New Roman"/>
                <w:spacing w:val="-3"/>
                <w:sz w:val="18"/>
                <w:szCs w:val="22"/>
                <w:lang w:val="es-ES_tradnl" w:eastAsia="es-ES_tradnl"/>
              </w:rPr>
            </w:pPr>
          </w:p>
        </w:tc>
        <w:tc>
          <w:tcPr>
            <w:tcW w:w="0" w:type="auto"/>
            <w:gridSpan w:val="2"/>
          </w:tcPr>
          <w:p w:rsidR="006671F2" w:rsidRPr="00714748" w:rsidRDefault="006671F2"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 xml:space="preserve">AÑO </w:t>
            </w:r>
            <w:r w:rsidR="00A779EE" w:rsidRPr="00714748">
              <w:rPr>
                <w:rFonts w:ascii="Garamond" w:hAnsi="Garamond" w:cs="Times New Roman"/>
                <w:b/>
                <w:spacing w:val="-3"/>
                <w:sz w:val="18"/>
                <w:szCs w:val="22"/>
                <w:lang w:val="es-ES_tradnl" w:eastAsia="es-ES_tradnl"/>
              </w:rPr>
              <w:t>2020</w:t>
            </w:r>
          </w:p>
        </w:tc>
        <w:tc>
          <w:tcPr>
            <w:tcW w:w="0" w:type="auto"/>
            <w:gridSpan w:val="2"/>
          </w:tcPr>
          <w:p w:rsidR="006671F2" w:rsidRPr="00714748" w:rsidRDefault="006671F2"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 xml:space="preserve">AÑO </w:t>
            </w:r>
            <w:r w:rsidR="00A779EE" w:rsidRPr="00714748">
              <w:rPr>
                <w:rFonts w:ascii="Garamond" w:hAnsi="Garamond" w:cs="Times New Roman"/>
                <w:b/>
                <w:spacing w:val="-3"/>
                <w:sz w:val="18"/>
                <w:szCs w:val="22"/>
                <w:lang w:val="es-ES_tradnl" w:eastAsia="es-ES_tradnl"/>
              </w:rPr>
              <w:t>2019</w:t>
            </w:r>
          </w:p>
        </w:tc>
      </w:tr>
      <w:tr w:rsidR="006671F2" w:rsidRPr="00714748" w:rsidTr="008B36DE">
        <w:trPr>
          <w:jc w:val="center"/>
        </w:trPr>
        <w:tc>
          <w:tcPr>
            <w:tcW w:w="0" w:type="auto"/>
            <w:tcBorders>
              <w:top w:val="nil"/>
              <w:left w:val="nil"/>
            </w:tcBorders>
          </w:tcPr>
          <w:p w:rsidR="006671F2" w:rsidRPr="00714748" w:rsidRDefault="006671F2" w:rsidP="008D4649">
            <w:pPr>
              <w:tabs>
                <w:tab w:val="left" w:pos="-720"/>
              </w:tabs>
              <w:suppressAutoHyphens/>
              <w:spacing w:beforeLines="20" w:after="20"/>
              <w:ind w:right="-28"/>
              <w:jc w:val="both"/>
              <w:rPr>
                <w:rFonts w:ascii="Garamond" w:hAnsi="Garamond" w:cs="Times New Roman"/>
                <w:spacing w:val="-3"/>
                <w:sz w:val="18"/>
                <w:szCs w:val="22"/>
                <w:lang w:val="es-ES_tradnl" w:eastAsia="es-ES_tradnl"/>
              </w:rPr>
            </w:pPr>
          </w:p>
        </w:tc>
        <w:tc>
          <w:tcPr>
            <w:tcW w:w="0" w:type="auto"/>
          </w:tcPr>
          <w:p w:rsidR="006671F2" w:rsidRPr="00714748" w:rsidRDefault="006671F2"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ACTIVOS</w:t>
            </w:r>
          </w:p>
        </w:tc>
        <w:tc>
          <w:tcPr>
            <w:tcW w:w="0" w:type="auto"/>
          </w:tcPr>
          <w:p w:rsidR="006671F2" w:rsidRPr="00714748" w:rsidRDefault="006671F2"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PASIVOS</w:t>
            </w:r>
          </w:p>
        </w:tc>
        <w:tc>
          <w:tcPr>
            <w:tcW w:w="0" w:type="auto"/>
          </w:tcPr>
          <w:p w:rsidR="006671F2" w:rsidRPr="00714748" w:rsidRDefault="006671F2"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ACTIVOS</w:t>
            </w:r>
          </w:p>
        </w:tc>
        <w:tc>
          <w:tcPr>
            <w:tcW w:w="0" w:type="auto"/>
          </w:tcPr>
          <w:p w:rsidR="006671F2" w:rsidRPr="00714748" w:rsidRDefault="006671F2"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PASIVOS</w:t>
            </w:r>
          </w:p>
        </w:tc>
      </w:tr>
      <w:tr w:rsidR="00A779EE" w:rsidRPr="00714748" w:rsidTr="008B36DE">
        <w:trPr>
          <w:jc w:val="center"/>
        </w:trPr>
        <w:tc>
          <w:tcPr>
            <w:tcW w:w="0" w:type="auto"/>
          </w:tcPr>
          <w:p w:rsidR="00A779EE" w:rsidRPr="00714748" w:rsidRDefault="00A779EE" w:rsidP="008D4649">
            <w:pPr>
              <w:tabs>
                <w:tab w:val="left" w:pos="-720"/>
              </w:tabs>
              <w:suppressAutoHyphens/>
              <w:spacing w:beforeLines="20" w:after="20"/>
              <w:ind w:right="-28"/>
              <w:jc w:val="both"/>
              <w:rPr>
                <w:rFonts w:ascii="Garamond" w:hAnsi="Garamond" w:cs="Times New Roman"/>
                <w:spacing w:val="-3"/>
                <w:sz w:val="18"/>
                <w:szCs w:val="22"/>
                <w:lang w:val="es-ES_tradnl" w:eastAsia="es-ES_tradnl"/>
              </w:rPr>
            </w:pPr>
            <w:r w:rsidRPr="00714748">
              <w:rPr>
                <w:rFonts w:ascii="Garamond" w:hAnsi="Garamond" w:cs="Times New Roman"/>
                <w:spacing w:val="-3"/>
                <w:sz w:val="18"/>
                <w:szCs w:val="22"/>
                <w:lang w:val="es-ES_tradnl" w:eastAsia="es-ES_tradnl"/>
              </w:rPr>
              <w:t>Ayuntamiento de Las Palmas de Gran Canaria</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spacing w:val="-3"/>
                <w:sz w:val="18"/>
                <w:szCs w:val="22"/>
                <w:lang w:val="es-ES_tradnl" w:eastAsia="es-ES_tradnl"/>
              </w:rPr>
            </w:pPr>
            <w:r w:rsidRPr="00714748">
              <w:rPr>
                <w:rFonts w:ascii="Garamond" w:hAnsi="Garamond" w:cs="Times New Roman"/>
                <w:spacing w:val="-3"/>
                <w:sz w:val="18"/>
                <w:szCs w:val="22"/>
                <w:lang w:val="es-ES_tradnl" w:eastAsia="es-ES_tradnl"/>
              </w:rPr>
              <w:t>0,00</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spacing w:val="-3"/>
                <w:sz w:val="18"/>
                <w:szCs w:val="22"/>
                <w:lang w:val="es-ES_tradnl" w:eastAsia="es-ES_tradnl"/>
              </w:rPr>
            </w:pPr>
            <w:r w:rsidRPr="00714748">
              <w:rPr>
                <w:rFonts w:ascii="Garamond" w:hAnsi="Garamond" w:cs="Times New Roman"/>
                <w:spacing w:val="-3"/>
                <w:sz w:val="18"/>
                <w:szCs w:val="22"/>
                <w:lang w:val="es-ES_tradnl" w:eastAsia="es-ES_tradnl"/>
              </w:rPr>
              <w:t>452.429,97</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spacing w:val="-3"/>
                <w:sz w:val="18"/>
                <w:szCs w:val="22"/>
                <w:lang w:val="es-ES_tradnl" w:eastAsia="es-ES_tradnl"/>
              </w:rPr>
            </w:pPr>
            <w:r w:rsidRPr="00714748">
              <w:rPr>
                <w:rFonts w:ascii="Garamond" w:hAnsi="Garamond" w:cs="Times New Roman"/>
                <w:spacing w:val="-3"/>
                <w:sz w:val="18"/>
                <w:szCs w:val="22"/>
                <w:lang w:val="es-ES_tradnl" w:eastAsia="es-ES_tradnl"/>
              </w:rPr>
              <w:t>0,00</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spacing w:val="-3"/>
                <w:sz w:val="18"/>
                <w:szCs w:val="22"/>
                <w:lang w:val="es-ES_tradnl" w:eastAsia="es-ES_tradnl"/>
              </w:rPr>
            </w:pPr>
            <w:r w:rsidRPr="00714748">
              <w:rPr>
                <w:rFonts w:ascii="Garamond" w:hAnsi="Garamond" w:cs="Times New Roman"/>
                <w:spacing w:val="-3"/>
                <w:sz w:val="18"/>
                <w:szCs w:val="22"/>
                <w:lang w:val="es-ES_tradnl" w:eastAsia="es-ES_tradnl"/>
              </w:rPr>
              <w:t>452.429,97</w:t>
            </w:r>
          </w:p>
        </w:tc>
      </w:tr>
      <w:tr w:rsidR="00A779EE" w:rsidRPr="00714748" w:rsidTr="008B36DE">
        <w:trPr>
          <w:jc w:val="center"/>
        </w:trPr>
        <w:tc>
          <w:tcPr>
            <w:tcW w:w="0" w:type="auto"/>
          </w:tcPr>
          <w:p w:rsidR="00A779EE" w:rsidRPr="00714748" w:rsidRDefault="00A779EE" w:rsidP="008D4649">
            <w:pPr>
              <w:tabs>
                <w:tab w:val="left" w:pos="-720"/>
              </w:tabs>
              <w:suppressAutoHyphens/>
              <w:spacing w:beforeLines="20" w:after="20"/>
              <w:ind w:right="-28"/>
              <w:jc w:val="both"/>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TOTALES</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0,00</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452.429,97</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0,00</w:t>
            </w:r>
          </w:p>
        </w:tc>
        <w:tc>
          <w:tcPr>
            <w:tcW w:w="0" w:type="auto"/>
          </w:tcPr>
          <w:p w:rsidR="00A779EE" w:rsidRPr="00714748" w:rsidRDefault="00A779EE" w:rsidP="008D4649">
            <w:pPr>
              <w:tabs>
                <w:tab w:val="left" w:pos="-720"/>
              </w:tabs>
              <w:suppressAutoHyphens/>
              <w:spacing w:beforeLines="20" w:after="20"/>
              <w:ind w:right="-28"/>
              <w:jc w:val="center"/>
              <w:rPr>
                <w:rFonts w:ascii="Garamond" w:hAnsi="Garamond" w:cs="Times New Roman"/>
                <w:b/>
                <w:spacing w:val="-3"/>
                <w:sz w:val="18"/>
                <w:szCs w:val="22"/>
                <w:lang w:val="es-ES_tradnl" w:eastAsia="es-ES_tradnl"/>
              </w:rPr>
            </w:pPr>
            <w:r w:rsidRPr="00714748">
              <w:rPr>
                <w:rFonts w:ascii="Garamond" w:hAnsi="Garamond" w:cs="Times New Roman"/>
                <w:b/>
                <w:spacing w:val="-3"/>
                <w:sz w:val="18"/>
                <w:szCs w:val="22"/>
                <w:lang w:val="es-ES_tradnl" w:eastAsia="es-ES_tradnl"/>
              </w:rPr>
              <w:t>452.429,97</w:t>
            </w:r>
          </w:p>
        </w:tc>
      </w:tr>
    </w:tbl>
    <w:p w:rsidR="0028650E" w:rsidRPr="00714748" w:rsidRDefault="0028650E"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p>
    <w:p w:rsidR="007279D5" w:rsidRPr="00714748" w:rsidRDefault="007279D5" w:rsidP="002C5B40">
      <w:pPr>
        <w:tabs>
          <w:tab w:val="left" w:pos="-720"/>
        </w:tabs>
        <w:suppressAutoHyphens/>
        <w:ind w:left="709" w:right="-26"/>
        <w:jc w:val="both"/>
        <w:rPr>
          <w:rFonts w:ascii="Times New Roman" w:hAnsi="Times New Roman" w:cs="Times New Roman"/>
          <w:spacing w:val="-3"/>
          <w:sz w:val="22"/>
          <w:szCs w:val="22"/>
          <w:lang w:val="es-ES_tradnl" w:eastAsia="es-ES_tradnl"/>
        </w:rPr>
      </w:pPr>
    </w:p>
    <w:p w:rsidR="006C0067" w:rsidRPr="00714748" w:rsidRDefault="006C0067" w:rsidP="002C5B40">
      <w:pPr>
        <w:tabs>
          <w:tab w:val="left" w:pos="-720"/>
        </w:tabs>
        <w:suppressAutoHyphens/>
        <w:ind w:left="709" w:right="-26"/>
        <w:jc w:val="both"/>
        <w:rPr>
          <w:rFonts w:ascii="Times New Roman" w:hAnsi="Times New Roman" w:cs="Times New Roman"/>
          <w:spacing w:val="-2"/>
          <w:sz w:val="22"/>
          <w:szCs w:val="22"/>
          <w:lang w:val="es-ES_tradnl" w:eastAsia="es-ES_tradnl"/>
        </w:rPr>
      </w:pPr>
      <w:r w:rsidRPr="00714748">
        <w:rPr>
          <w:rFonts w:ascii="Times New Roman" w:hAnsi="Times New Roman" w:cs="Times New Roman"/>
          <w:spacing w:val="-3"/>
          <w:sz w:val="22"/>
          <w:szCs w:val="22"/>
          <w:lang w:val="es-ES_tradnl" w:eastAsia="es-ES_tradnl"/>
        </w:rPr>
        <w:t>Los miembros del Consejo de Administración no han recibido importe alguno en concepto de remuneraciones por sueldos y salarios o por dietas de asistencia al Consejo.</w:t>
      </w:r>
    </w:p>
    <w:p w:rsidR="00BA7556" w:rsidRPr="00714748" w:rsidRDefault="00BA7556" w:rsidP="006C0067">
      <w:pPr>
        <w:shd w:val="clear" w:color="auto" w:fill="FFFFFF"/>
        <w:ind w:left="1242" w:right="29" w:firstLine="720"/>
        <w:jc w:val="both"/>
        <w:rPr>
          <w:rFonts w:ascii="Times New Roman" w:hAnsi="Times New Roman" w:cs="Times New Roman"/>
          <w:spacing w:val="-2"/>
          <w:sz w:val="22"/>
          <w:szCs w:val="22"/>
          <w:lang w:val="es-ES_tradnl" w:eastAsia="es-ES_tradnl"/>
        </w:rPr>
      </w:pPr>
    </w:p>
    <w:p w:rsidR="006C0067" w:rsidRPr="007823C8" w:rsidRDefault="006C0067"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r w:rsidRPr="00714748">
        <w:rPr>
          <w:rFonts w:ascii="Times New Roman" w:hAnsi="Times New Roman" w:cs="Times New Roman"/>
          <w:spacing w:val="-3"/>
          <w:sz w:val="22"/>
          <w:szCs w:val="22"/>
          <w:lang w:val="es-ES_tradnl" w:eastAsia="es-ES_tradnl"/>
        </w:rPr>
        <w:t>El importe correspondiente a Sueldos y Salarios perc</w:t>
      </w:r>
      <w:r w:rsidR="00CF462A" w:rsidRPr="00714748">
        <w:rPr>
          <w:rFonts w:ascii="Times New Roman" w:hAnsi="Times New Roman" w:cs="Times New Roman"/>
          <w:spacing w:val="-3"/>
          <w:sz w:val="22"/>
          <w:szCs w:val="22"/>
          <w:lang w:val="es-ES_tradnl" w:eastAsia="es-ES_tradnl"/>
        </w:rPr>
        <w:t xml:space="preserve">ibidos durante el ejercicio </w:t>
      </w:r>
      <w:r w:rsidR="00814FE2" w:rsidRPr="00714748">
        <w:rPr>
          <w:rFonts w:ascii="Times New Roman" w:hAnsi="Times New Roman" w:cs="Times New Roman"/>
          <w:spacing w:val="-3"/>
          <w:sz w:val="22"/>
          <w:szCs w:val="22"/>
          <w:lang w:val="es-ES_tradnl" w:eastAsia="es-ES_tradnl"/>
        </w:rPr>
        <w:t>20</w:t>
      </w:r>
      <w:r w:rsidR="007823C8" w:rsidRPr="00714748">
        <w:rPr>
          <w:rFonts w:ascii="Times New Roman" w:hAnsi="Times New Roman" w:cs="Times New Roman"/>
          <w:spacing w:val="-3"/>
          <w:sz w:val="22"/>
          <w:szCs w:val="22"/>
          <w:lang w:val="es-ES_tradnl" w:eastAsia="es-ES_tradnl"/>
        </w:rPr>
        <w:t>20</w:t>
      </w:r>
      <w:r w:rsidR="009F72DC" w:rsidRPr="00714748">
        <w:rPr>
          <w:rFonts w:ascii="Times New Roman" w:hAnsi="Times New Roman" w:cs="Times New Roman"/>
          <w:spacing w:val="-3"/>
          <w:sz w:val="22"/>
          <w:szCs w:val="22"/>
          <w:lang w:val="es-ES_tradnl" w:eastAsia="es-ES_tradnl"/>
        </w:rPr>
        <w:t xml:space="preserve"> </w:t>
      </w:r>
      <w:r w:rsidRPr="00714748">
        <w:rPr>
          <w:rFonts w:ascii="Times New Roman" w:hAnsi="Times New Roman" w:cs="Times New Roman"/>
          <w:spacing w:val="-3"/>
          <w:sz w:val="22"/>
          <w:szCs w:val="22"/>
          <w:lang w:val="es-ES_tradnl" w:eastAsia="es-ES_tradnl"/>
        </w:rPr>
        <w:t xml:space="preserve"> por el personal de</w:t>
      </w:r>
      <w:r w:rsidRPr="007823C8">
        <w:rPr>
          <w:rFonts w:ascii="Times New Roman" w:hAnsi="Times New Roman" w:cs="Times New Roman"/>
          <w:spacing w:val="-3"/>
          <w:sz w:val="22"/>
          <w:szCs w:val="22"/>
          <w:lang w:val="es-ES_tradnl" w:eastAsia="es-ES_tradnl"/>
        </w:rPr>
        <w:t xml:space="preserve"> alta dirección asciende a </w:t>
      </w:r>
      <w:r w:rsidR="00781786" w:rsidRPr="007823C8">
        <w:rPr>
          <w:rFonts w:ascii="Times New Roman" w:hAnsi="Times New Roman" w:cs="Times New Roman"/>
          <w:spacing w:val="-3"/>
          <w:sz w:val="22"/>
          <w:szCs w:val="22"/>
          <w:lang w:val="es-ES_tradnl" w:eastAsia="es-ES_tradnl"/>
        </w:rPr>
        <w:t>1</w:t>
      </w:r>
      <w:r w:rsidR="007823C8" w:rsidRPr="007823C8">
        <w:rPr>
          <w:rFonts w:ascii="Times New Roman" w:hAnsi="Times New Roman" w:cs="Times New Roman"/>
          <w:spacing w:val="-3"/>
          <w:sz w:val="22"/>
          <w:szCs w:val="22"/>
          <w:lang w:val="es-ES_tradnl" w:eastAsia="es-ES_tradnl"/>
        </w:rPr>
        <w:t>16</w:t>
      </w:r>
      <w:r w:rsidR="006E133C" w:rsidRPr="007823C8">
        <w:rPr>
          <w:rFonts w:ascii="Times New Roman" w:hAnsi="Times New Roman" w:cs="Times New Roman"/>
          <w:spacing w:val="-3"/>
          <w:sz w:val="22"/>
          <w:szCs w:val="22"/>
          <w:lang w:val="es-ES_tradnl" w:eastAsia="es-ES_tradnl"/>
        </w:rPr>
        <w:t>.</w:t>
      </w:r>
      <w:r w:rsidR="007823C8" w:rsidRPr="007823C8">
        <w:rPr>
          <w:rFonts w:ascii="Times New Roman" w:hAnsi="Times New Roman" w:cs="Times New Roman"/>
          <w:spacing w:val="-3"/>
          <w:sz w:val="22"/>
          <w:szCs w:val="22"/>
          <w:lang w:val="es-ES_tradnl" w:eastAsia="es-ES_tradnl"/>
        </w:rPr>
        <w:t>138</w:t>
      </w:r>
      <w:r w:rsidR="00AB7024" w:rsidRPr="007823C8">
        <w:rPr>
          <w:rFonts w:ascii="Times New Roman" w:hAnsi="Times New Roman" w:cs="Times New Roman"/>
          <w:spacing w:val="-3"/>
          <w:sz w:val="22"/>
          <w:szCs w:val="22"/>
          <w:lang w:val="es-ES_tradnl" w:eastAsia="es-ES_tradnl"/>
        </w:rPr>
        <w:t>.</w:t>
      </w:r>
      <w:r w:rsidR="007823C8" w:rsidRPr="007823C8">
        <w:rPr>
          <w:rFonts w:ascii="Times New Roman" w:hAnsi="Times New Roman" w:cs="Times New Roman"/>
          <w:spacing w:val="-3"/>
          <w:sz w:val="22"/>
          <w:szCs w:val="22"/>
          <w:lang w:val="es-ES_tradnl" w:eastAsia="es-ES_tradnl"/>
        </w:rPr>
        <w:t>13</w:t>
      </w:r>
      <w:r w:rsidR="00AB7024" w:rsidRPr="007823C8">
        <w:rPr>
          <w:rFonts w:ascii="Times New Roman" w:hAnsi="Times New Roman" w:cs="Times New Roman"/>
          <w:spacing w:val="-3"/>
          <w:sz w:val="22"/>
          <w:szCs w:val="22"/>
          <w:lang w:val="es-ES_tradnl" w:eastAsia="es-ES_tradnl"/>
        </w:rPr>
        <w:t xml:space="preserve"> </w:t>
      </w:r>
      <w:r w:rsidRPr="007823C8">
        <w:rPr>
          <w:rFonts w:ascii="Times New Roman" w:hAnsi="Times New Roman" w:cs="Times New Roman"/>
          <w:spacing w:val="-3"/>
          <w:sz w:val="22"/>
          <w:szCs w:val="22"/>
          <w:lang w:val="es-ES_tradnl" w:eastAsia="es-ES_tradnl"/>
        </w:rPr>
        <w:t xml:space="preserve">euros y </w:t>
      </w:r>
      <w:r w:rsidR="00BC7150" w:rsidRPr="007823C8">
        <w:rPr>
          <w:rFonts w:ascii="Times New Roman" w:hAnsi="Times New Roman" w:cs="Times New Roman"/>
          <w:spacing w:val="-3"/>
          <w:sz w:val="22"/>
          <w:szCs w:val="22"/>
          <w:lang w:val="es-ES_tradnl" w:eastAsia="es-ES_tradnl"/>
        </w:rPr>
        <w:t>siendo</w:t>
      </w:r>
      <w:r w:rsidR="00667EED" w:rsidRPr="007823C8">
        <w:rPr>
          <w:rFonts w:ascii="Times New Roman" w:hAnsi="Times New Roman" w:cs="Times New Roman"/>
          <w:spacing w:val="-3"/>
          <w:sz w:val="22"/>
          <w:szCs w:val="22"/>
          <w:lang w:val="es-ES_tradnl" w:eastAsia="es-ES_tradnl"/>
        </w:rPr>
        <w:t xml:space="preserve"> de</w:t>
      </w:r>
      <w:r w:rsidRPr="007823C8">
        <w:rPr>
          <w:rFonts w:ascii="Times New Roman" w:hAnsi="Times New Roman" w:cs="Times New Roman"/>
          <w:spacing w:val="-3"/>
          <w:sz w:val="22"/>
          <w:szCs w:val="22"/>
          <w:lang w:val="es-ES_tradnl" w:eastAsia="es-ES_tradnl"/>
        </w:rPr>
        <w:t xml:space="preserve"> </w:t>
      </w:r>
      <w:r w:rsidR="00781A4E" w:rsidRPr="007823C8">
        <w:rPr>
          <w:rFonts w:ascii="Times New Roman" w:hAnsi="Times New Roman" w:cs="Times New Roman"/>
          <w:spacing w:val="-3"/>
          <w:sz w:val="22"/>
          <w:szCs w:val="22"/>
          <w:lang w:val="es-ES_tradnl" w:eastAsia="es-ES_tradnl"/>
        </w:rPr>
        <w:t>1</w:t>
      </w:r>
      <w:r w:rsidR="007823C8" w:rsidRPr="007823C8">
        <w:rPr>
          <w:rFonts w:ascii="Times New Roman" w:hAnsi="Times New Roman" w:cs="Times New Roman"/>
          <w:spacing w:val="-3"/>
          <w:sz w:val="22"/>
          <w:szCs w:val="22"/>
          <w:lang w:val="es-ES_tradnl" w:eastAsia="es-ES_tradnl"/>
        </w:rPr>
        <w:t>21</w:t>
      </w:r>
      <w:r w:rsidR="00781A4E" w:rsidRPr="007823C8">
        <w:rPr>
          <w:rFonts w:ascii="Times New Roman" w:hAnsi="Times New Roman" w:cs="Times New Roman"/>
          <w:spacing w:val="-3"/>
          <w:sz w:val="22"/>
          <w:szCs w:val="22"/>
          <w:lang w:val="es-ES_tradnl" w:eastAsia="es-ES_tradnl"/>
        </w:rPr>
        <w:t>.</w:t>
      </w:r>
      <w:r w:rsidR="007823C8" w:rsidRPr="007823C8">
        <w:rPr>
          <w:rFonts w:ascii="Times New Roman" w:hAnsi="Times New Roman" w:cs="Times New Roman"/>
          <w:spacing w:val="-3"/>
          <w:sz w:val="22"/>
          <w:szCs w:val="22"/>
          <w:lang w:val="es-ES_tradnl" w:eastAsia="es-ES_tradnl"/>
        </w:rPr>
        <w:t>595</w:t>
      </w:r>
      <w:r w:rsidR="00781A4E" w:rsidRPr="007823C8">
        <w:rPr>
          <w:rFonts w:ascii="Times New Roman" w:hAnsi="Times New Roman" w:cs="Times New Roman"/>
          <w:spacing w:val="-3"/>
          <w:sz w:val="22"/>
          <w:szCs w:val="22"/>
          <w:lang w:val="es-ES_tradnl" w:eastAsia="es-ES_tradnl"/>
        </w:rPr>
        <w:t>,</w:t>
      </w:r>
      <w:r w:rsidR="007823C8" w:rsidRPr="007823C8">
        <w:rPr>
          <w:rFonts w:ascii="Times New Roman" w:hAnsi="Times New Roman" w:cs="Times New Roman"/>
          <w:spacing w:val="-3"/>
          <w:sz w:val="22"/>
          <w:szCs w:val="22"/>
          <w:lang w:val="es-ES_tradnl" w:eastAsia="es-ES_tradnl"/>
        </w:rPr>
        <w:t>66</w:t>
      </w:r>
      <w:r w:rsidRPr="007823C8">
        <w:rPr>
          <w:rFonts w:ascii="Times New Roman" w:hAnsi="Times New Roman" w:cs="Times New Roman"/>
          <w:spacing w:val="-3"/>
          <w:sz w:val="22"/>
          <w:szCs w:val="22"/>
          <w:lang w:val="es-ES_tradnl" w:eastAsia="es-ES_tradnl"/>
        </w:rPr>
        <w:t xml:space="preserve"> euros </w:t>
      </w:r>
      <w:r w:rsidR="00667EED" w:rsidRPr="007823C8">
        <w:rPr>
          <w:rFonts w:ascii="Times New Roman" w:hAnsi="Times New Roman" w:cs="Times New Roman"/>
          <w:spacing w:val="-3"/>
          <w:sz w:val="22"/>
          <w:szCs w:val="22"/>
          <w:lang w:val="es-ES_tradnl" w:eastAsia="es-ES_tradnl"/>
        </w:rPr>
        <w:t>en</w:t>
      </w:r>
      <w:r w:rsidRPr="007823C8">
        <w:rPr>
          <w:rFonts w:ascii="Times New Roman" w:hAnsi="Times New Roman" w:cs="Times New Roman"/>
          <w:spacing w:val="-3"/>
          <w:sz w:val="22"/>
          <w:szCs w:val="22"/>
          <w:lang w:val="es-ES_tradnl" w:eastAsia="es-ES_tradnl"/>
        </w:rPr>
        <w:t xml:space="preserve"> el ejercicio anterior.</w:t>
      </w:r>
    </w:p>
    <w:p w:rsidR="006C0067" w:rsidRDefault="006C0067" w:rsidP="006C0067">
      <w:pPr>
        <w:shd w:val="clear" w:color="auto" w:fill="FFFFFF"/>
        <w:ind w:left="1242" w:right="29" w:firstLine="720"/>
        <w:jc w:val="both"/>
        <w:rPr>
          <w:rFonts w:ascii="Times New Roman" w:hAnsi="Times New Roman" w:cs="Times New Roman"/>
          <w:color w:val="0000FF"/>
          <w:spacing w:val="-3"/>
          <w:sz w:val="22"/>
          <w:szCs w:val="22"/>
          <w:lang w:val="es-ES_tradnl" w:eastAsia="es-ES_tradnl"/>
        </w:rPr>
      </w:pPr>
    </w:p>
    <w:p w:rsidR="00205A13" w:rsidRPr="00321047" w:rsidRDefault="00205A13" w:rsidP="006C0067">
      <w:pPr>
        <w:shd w:val="clear" w:color="auto" w:fill="FFFFFF"/>
        <w:ind w:left="1242" w:right="29" w:firstLine="720"/>
        <w:jc w:val="both"/>
        <w:rPr>
          <w:rFonts w:ascii="Times New Roman" w:hAnsi="Times New Roman" w:cs="Times New Roman"/>
          <w:color w:val="0000FF"/>
          <w:spacing w:val="-3"/>
          <w:sz w:val="22"/>
          <w:szCs w:val="22"/>
          <w:lang w:val="es-ES_tradnl" w:eastAsia="es-ES_tradnl"/>
        </w:rPr>
      </w:pPr>
    </w:p>
    <w:p w:rsidR="006C0067" w:rsidRPr="007823C8" w:rsidRDefault="006C0067" w:rsidP="00934221">
      <w:pPr>
        <w:pStyle w:val="Default"/>
        <w:ind w:left="709"/>
        <w:jc w:val="both"/>
        <w:rPr>
          <w:rFonts w:ascii="Times New Roman" w:hAnsi="Times New Roman" w:cs="Times New Roman"/>
          <w:color w:val="auto"/>
          <w:spacing w:val="-3"/>
          <w:sz w:val="22"/>
          <w:szCs w:val="22"/>
          <w:lang w:val="es-ES_tradnl" w:eastAsia="es-ES_tradnl"/>
        </w:rPr>
      </w:pPr>
      <w:r w:rsidRPr="007823C8">
        <w:rPr>
          <w:rFonts w:ascii="Times New Roman" w:hAnsi="Times New Roman" w:cs="Times New Roman"/>
          <w:color w:val="auto"/>
          <w:spacing w:val="-3"/>
          <w:sz w:val="22"/>
          <w:szCs w:val="22"/>
          <w:lang w:val="es-ES_tradnl" w:eastAsia="es-ES_tradnl"/>
        </w:rPr>
        <w:t>A los efectos previstos en el artículo 229 de la Ley de Sociedades de Capital, se hace constar expresamente que, a fecha 31 de diciembre de 20</w:t>
      </w:r>
      <w:r w:rsidR="007823C8" w:rsidRPr="007823C8">
        <w:rPr>
          <w:rFonts w:ascii="Times New Roman" w:hAnsi="Times New Roman" w:cs="Times New Roman"/>
          <w:color w:val="auto"/>
          <w:spacing w:val="-3"/>
          <w:sz w:val="22"/>
          <w:szCs w:val="22"/>
          <w:lang w:val="es-ES_tradnl" w:eastAsia="es-ES_tradnl"/>
        </w:rPr>
        <w:t>20</w:t>
      </w:r>
      <w:r w:rsidRPr="007823C8">
        <w:rPr>
          <w:rFonts w:ascii="Times New Roman" w:hAnsi="Times New Roman" w:cs="Times New Roman"/>
          <w:color w:val="auto"/>
          <w:spacing w:val="-3"/>
          <w:sz w:val="22"/>
          <w:szCs w:val="22"/>
          <w:lang w:val="es-ES_tradnl" w:eastAsia="es-ES_tradnl"/>
        </w:rPr>
        <w:t xml:space="preserve">, </w:t>
      </w:r>
      <w:r w:rsidR="00AE55F0" w:rsidRPr="007823C8">
        <w:rPr>
          <w:rFonts w:ascii="Times New Roman" w:hAnsi="Times New Roman" w:cs="Times New Roman"/>
          <w:color w:val="auto"/>
          <w:spacing w:val="-3"/>
          <w:sz w:val="22"/>
          <w:szCs w:val="22"/>
          <w:lang w:val="es-ES_tradnl" w:eastAsia="es-ES_tradnl"/>
        </w:rPr>
        <w:t>los miembros del Consejo de A</w:t>
      </w:r>
      <w:r w:rsidRPr="007823C8">
        <w:rPr>
          <w:rFonts w:ascii="Times New Roman" w:hAnsi="Times New Roman" w:cs="Times New Roman"/>
          <w:color w:val="auto"/>
          <w:spacing w:val="-3"/>
          <w:sz w:val="22"/>
          <w:szCs w:val="22"/>
          <w:lang w:val="es-ES_tradnl" w:eastAsia="es-ES_tradnl"/>
        </w:rPr>
        <w:t>dministra</w:t>
      </w:r>
      <w:r w:rsidR="00AE55F0" w:rsidRPr="007823C8">
        <w:rPr>
          <w:rFonts w:ascii="Times New Roman" w:hAnsi="Times New Roman" w:cs="Times New Roman"/>
          <w:color w:val="auto"/>
          <w:spacing w:val="-3"/>
          <w:sz w:val="22"/>
          <w:szCs w:val="22"/>
          <w:lang w:val="es-ES_tradnl" w:eastAsia="es-ES_tradnl"/>
        </w:rPr>
        <w:t xml:space="preserve">ción </w:t>
      </w:r>
      <w:r w:rsidRPr="007823C8">
        <w:rPr>
          <w:rFonts w:ascii="Times New Roman" w:hAnsi="Times New Roman" w:cs="Times New Roman"/>
          <w:color w:val="auto"/>
          <w:spacing w:val="-3"/>
          <w:sz w:val="22"/>
          <w:szCs w:val="22"/>
          <w:lang w:val="es-ES_tradnl" w:eastAsia="es-ES_tradnl"/>
        </w:rPr>
        <w:t>no se encuentran en situación de conflicto, directo o indirecto, que ellos o personas vinculadas a ellos pudieran tener con el interés de la sociedad.</w:t>
      </w:r>
    </w:p>
    <w:p w:rsidR="00510D63" w:rsidRPr="00510D63" w:rsidRDefault="00510D63" w:rsidP="006C0067">
      <w:pPr>
        <w:pStyle w:val="Default"/>
        <w:ind w:left="709" w:firstLine="731"/>
        <w:jc w:val="both"/>
        <w:rPr>
          <w:rFonts w:ascii="Times New Roman" w:hAnsi="Times New Roman" w:cs="Times New Roman"/>
          <w:color w:val="auto"/>
          <w:spacing w:val="-3"/>
          <w:sz w:val="22"/>
          <w:szCs w:val="22"/>
          <w:lang w:val="es-ES_tradnl" w:eastAsia="es-ES_tradnl"/>
        </w:rPr>
      </w:pPr>
    </w:p>
    <w:p w:rsidR="006C0067" w:rsidRPr="00510D63" w:rsidRDefault="0076239A" w:rsidP="006C0067">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r>
        <w:rPr>
          <w:rFonts w:ascii="Times New Roman" w:hAnsi="Times New Roman" w:cs="Times New Roman"/>
          <w:b/>
          <w:bCs/>
          <w:spacing w:val="-2"/>
          <w:sz w:val="22"/>
          <w:szCs w:val="22"/>
          <w:lang w:val="es-ES_tradnl" w:eastAsia="es-ES_tradnl"/>
        </w:rPr>
        <w:t>13</w:t>
      </w:r>
      <w:r w:rsidR="006C0067" w:rsidRPr="00510D63">
        <w:rPr>
          <w:rFonts w:ascii="Times New Roman" w:hAnsi="Times New Roman" w:cs="Times New Roman"/>
          <w:b/>
          <w:bCs/>
          <w:spacing w:val="-2"/>
          <w:sz w:val="22"/>
          <w:szCs w:val="22"/>
          <w:lang w:val="es-ES_tradnl" w:eastAsia="es-ES_tradnl"/>
        </w:rPr>
        <w:t xml:space="preserve">. </w:t>
      </w:r>
      <w:r w:rsidR="006C0067" w:rsidRPr="00510D63">
        <w:rPr>
          <w:rFonts w:ascii="Times New Roman" w:hAnsi="Times New Roman" w:cs="Times New Roman"/>
          <w:b/>
          <w:bCs/>
          <w:spacing w:val="-2"/>
          <w:sz w:val="22"/>
          <w:szCs w:val="22"/>
          <w:u w:val="double"/>
          <w:lang w:val="es-ES_tradnl" w:eastAsia="es-ES_tradnl"/>
        </w:rPr>
        <w:t>OTRA INFORMACIÓN</w:t>
      </w:r>
    </w:p>
    <w:p w:rsidR="002545FD" w:rsidRDefault="002545FD" w:rsidP="006C0067">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p>
    <w:p w:rsidR="002545FD" w:rsidRPr="00205A13" w:rsidRDefault="002545FD" w:rsidP="002545FD">
      <w:pPr>
        <w:spacing w:line="276" w:lineRule="auto"/>
        <w:ind w:firstLine="709"/>
        <w:jc w:val="both"/>
        <w:rPr>
          <w:rFonts w:ascii="Times New Roman" w:hAnsi="Times New Roman" w:cs="Times New Roman"/>
          <w:b/>
          <w:spacing w:val="-4"/>
          <w:sz w:val="22"/>
          <w:szCs w:val="22"/>
          <w:u w:val="single"/>
          <w:lang w:val="es-ES_tradnl" w:eastAsia="es-ES_tradnl"/>
        </w:rPr>
      </w:pPr>
      <w:bookmarkStart w:id="13" w:name="OLE_LINK149"/>
      <w:bookmarkStart w:id="14" w:name="OLE_LINK150"/>
      <w:r w:rsidRPr="00205A13">
        <w:rPr>
          <w:rFonts w:ascii="Times New Roman" w:hAnsi="Times New Roman" w:cs="Times New Roman"/>
          <w:b/>
          <w:spacing w:val="-4"/>
          <w:sz w:val="22"/>
          <w:szCs w:val="22"/>
          <w:u w:val="single"/>
          <w:lang w:val="es-ES_tradnl" w:eastAsia="es-ES_tradnl"/>
        </w:rPr>
        <w:t>Personal</w:t>
      </w:r>
    </w:p>
    <w:bookmarkEnd w:id="13"/>
    <w:bookmarkEnd w:id="14"/>
    <w:p w:rsidR="002545FD" w:rsidRPr="00510D63" w:rsidRDefault="002545FD" w:rsidP="006C0067">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p>
    <w:p w:rsidR="00510D63" w:rsidRPr="00510D63" w:rsidRDefault="00510D63" w:rsidP="00510D63">
      <w:pPr>
        <w:shd w:val="clear" w:color="auto" w:fill="FFFFFF"/>
        <w:ind w:firstLine="709"/>
        <w:jc w:val="both"/>
        <w:rPr>
          <w:rFonts w:ascii="Times New Roman" w:hAnsi="Times New Roman" w:cs="Times New Roman"/>
          <w:spacing w:val="-4"/>
          <w:sz w:val="22"/>
          <w:szCs w:val="22"/>
          <w:lang w:val="es-ES_tradnl" w:eastAsia="es-ES_tradnl"/>
        </w:rPr>
      </w:pPr>
      <w:r w:rsidRPr="00510D63">
        <w:rPr>
          <w:rFonts w:ascii="Times New Roman" w:hAnsi="Times New Roman" w:cs="Times New Roman"/>
          <w:spacing w:val="-4"/>
          <w:sz w:val="22"/>
          <w:szCs w:val="22"/>
          <w:lang w:val="es-ES_tradnl" w:eastAsia="es-ES_tradnl"/>
        </w:rPr>
        <w:t>El número medio de empleados distribuido por categorías profesionales es el siguiente:</w:t>
      </w:r>
    </w:p>
    <w:p w:rsidR="00510D63" w:rsidRPr="00510D63" w:rsidRDefault="00510D63" w:rsidP="00CC44B4">
      <w:pPr>
        <w:shd w:val="clear" w:color="auto" w:fill="FFFFFF"/>
        <w:ind w:firstLine="709"/>
        <w:jc w:val="both"/>
        <w:rPr>
          <w:rFonts w:ascii="Times New Roman" w:hAnsi="Times New Roman" w:cs="Times New Roman"/>
          <w:spacing w:val="-4"/>
          <w:sz w:val="22"/>
          <w:szCs w:val="22"/>
          <w:lang w:val="es-ES_tradnl" w:eastAsia="es-ES_tradnl"/>
        </w:rPr>
      </w:pPr>
    </w:p>
    <w:tbl>
      <w:tblPr>
        <w:tblW w:w="5540" w:type="dxa"/>
        <w:jc w:val="center"/>
        <w:tblInd w:w="70" w:type="dxa"/>
        <w:tblCellMar>
          <w:left w:w="70" w:type="dxa"/>
          <w:right w:w="70" w:type="dxa"/>
        </w:tblCellMar>
        <w:tblLook w:val="04A0"/>
      </w:tblPr>
      <w:tblGrid>
        <w:gridCol w:w="2860"/>
        <w:gridCol w:w="1300"/>
        <w:gridCol w:w="1380"/>
      </w:tblGrid>
      <w:tr w:rsidR="0012567B" w:rsidRPr="0012567B" w:rsidTr="007F7DF5">
        <w:trPr>
          <w:trHeight w:hRule="exact" w:val="300"/>
          <w:jc w:val="center"/>
        </w:trPr>
        <w:tc>
          <w:tcPr>
            <w:tcW w:w="2860" w:type="dxa"/>
            <w:tcBorders>
              <w:top w:val="single" w:sz="8" w:space="0" w:color="auto"/>
              <w:left w:val="nil"/>
              <w:bottom w:val="single" w:sz="6" w:space="0" w:color="auto"/>
              <w:right w:val="nil"/>
            </w:tcBorders>
            <w:shd w:val="clear" w:color="000000" w:fill="F2F2F2"/>
            <w:vAlign w:val="bottom"/>
            <w:hideMark/>
          </w:tcPr>
          <w:p w:rsidR="0012567B" w:rsidRPr="0012567B" w:rsidRDefault="0012567B" w:rsidP="00290D30">
            <w:pPr>
              <w:widowControl/>
              <w:autoSpaceDE/>
              <w:autoSpaceDN/>
              <w:adjustRightInd/>
              <w:rPr>
                <w:rFonts w:asciiTheme="majorHAnsi" w:hAnsiTheme="majorHAnsi" w:cs="Times New Roman"/>
                <w:b/>
                <w:bCs/>
                <w:color w:val="000000"/>
                <w:sz w:val="18"/>
                <w:szCs w:val="18"/>
              </w:rPr>
            </w:pPr>
            <w:r w:rsidRPr="0012567B">
              <w:rPr>
                <w:rFonts w:asciiTheme="majorHAnsi" w:hAnsiTheme="majorHAnsi" w:cs="Times New Roman"/>
                <w:b/>
                <w:bCs/>
                <w:color w:val="000000"/>
                <w:sz w:val="18"/>
                <w:szCs w:val="18"/>
              </w:rPr>
              <w:t xml:space="preserve">Categoría </w:t>
            </w:r>
          </w:p>
        </w:tc>
        <w:tc>
          <w:tcPr>
            <w:tcW w:w="1300" w:type="dxa"/>
            <w:tcBorders>
              <w:top w:val="single" w:sz="8" w:space="0" w:color="auto"/>
              <w:left w:val="nil"/>
              <w:bottom w:val="single" w:sz="6" w:space="0" w:color="auto"/>
              <w:right w:val="nil"/>
            </w:tcBorders>
            <w:shd w:val="clear" w:color="000000" w:fill="F2F2F2"/>
            <w:vAlign w:val="bottom"/>
            <w:hideMark/>
          </w:tcPr>
          <w:p w:rsidR="0012567B" w:rsidRPr="0012567B" w:rsidRDefault="0012567B" w:rsidP="0012567B">
            <w:pPr>
              <w:widowControl/>
              <w:autoSpaceDE/>
              <w:autoSpaceDN/>
              <w:adjustRightInd/>
              <w:jc w:val="center"/>
              <w:rPr>
                <w:rFonts w:asciiTheme="majorHAnsi" w:hAnsiTheme="majorHAnsi" w:cs="Times New Roman"/>
                <w:b/>
                <w:bCs/>
                <w:color w:val="000000"/>
                <w:sz w:val="18"/>
                <w:szCs w:val="18"/>
              </w:rPr>
            </w:pPr>
            <w:r w:rsidRPr="0012567B">
              <w:rPr>
                <w:rFonts w:asciiTheme="majorHAnsi" w:hAnsiTheme="majorHAnsi" w:cs="Times New Roman"/>
                <w:b/>
                <w:bCs/>
                <w:color w:val="000000"/>
                <w:sz w:val="18"/>
                <w:szCs w:val="18"/>
              </w:rPr>
              <w:t>2020</w:t>
            </w:r>
          </w:p>
        </w:tc>
        <w:tc>
          <w:tcPr>
            <w:tcW w:w="1380" w:type="dxa"/>
            <w:tcBorders>
              <w:top w:val="single" w:sz="8" w:space="0" w:color="auto"/>
              <w:left w:val="nil"/>
              <w:bottom w:val="single" w:sz="6" w:space="0" w:color="auto"/>
              <w:right w:val="nil"/>
            </w:tcBorders>
            <w:shd w:val="clear" w:color="000000" w:fill="F2F2F2"/>
            <w:vAlign w:val="bottom"/>
            <w:hideMark/>
          </w:tcPr>
          <w:p w:rsidR="0012567B" w:rsidRPr="0012567B" w:rsidRDefault="0012567B" w:rsidP="0012567B">
            <w:pPr>
              <w:widowControl/>
              <w:autoSpaceDE/>
              <w:autoSpaceDN/>
              <w:adjustRightInd/>
              <w:jc w:val="center"/>
              <w:rPr>
                <w:rFonts w:asciiTheme="majorHAnsi" w:hAnsiTheme="majorHAnsi" w:cs="Times New Roman"/>
                <w:b/>
                <w:bCs/>
                <w:color w:val="000000"/>
                <w:sz w:val="18"/>
                <w:szCs w:val="18"/>
              </w:rPr>
            </w:pPr>
            <w:r w:rsidRPr="0012567B">
              <w:rPr>
                <w:rFonts w:asciiTheme="majorHAnsi" w:hAnsiTheme="majorHAnsi" w:cs="Times New Roman"/>
                <w:b/>
                <w:bCs/>
                <w:color w:val="000000"/>
                <w:sz w:val="18"/>
                <w:szCs w:val="18"/>
              </w:rPr>
              <w:t>2019</w:t>
            </w:r>
          </w:p>
        </w:tc>
      </w:tr>
      <w:tr w:rsidR="0012567B" w:rsidRPr="0012567B" w:rsidTr="007F7DF5">
        <w:trPr>
          <w:trHeight w:val="300"/>
          <w:jc w:val="center"/>
        </w:trPr>
        <w:tc>
          <w:tcPr>
            <w:tcW w:w="2860" w:type="dxa"/>
            <w:tcBorders>
              <w:top w:val="single" w:sz="6" w:space="0" w:color="auto"/>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ADMINISTRATIVO</w:t>
            </w:r>
          </w:p>
        </w:tc>
        <w:tc>
          <w:tcPr>
            <w:tcW w:w="1300" w:type="dxa"/>
            <w:tcBorders>
              <w:top w:val="single" w:sz="6" w:space="0" w:color="auto"/>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14,96</w:t>
            </w:r>
          </w:p>
        </w:tc>
        <w:tc>
          <w:tcPr>
            <w:tcW w:w="1380" w:type="dxa"/>
            <w:tcBorders>
              <w:top w:val="single" w:sz="6" w:space="0" w:color="auto"/>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15,84</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ANIMD.SOC.CUL</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1,76</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1,76</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AUX. ADMIN.</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1,76</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2,64</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ENCARGADO</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1,76</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1,76</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MARKETING</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OFICIAL</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9,68</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7,92</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SECRETARIA</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TEC. AUX. BIBL.CO</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4,4</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1,76</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TEC. AUX. BIBL.</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23,76</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23,76</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TEC. GES. MEDIO</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7,04</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7,04</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TEC. GRADO SUPE</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2,64</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2,64</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TEC. MARKET.</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r>
      <w:tr w:rsidR="0012567B" w:rsidRPr="0012567B" w:rsidTr="0012567B">
        <w:trPr>
          <w:trHeight w:val="300"/>
          <w:jc w:val="center"/>
        </w:trPr>
        <w:tc>
          <w:tcPr>
            <w:tcW w:w="286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rPr>
                <w:rFonts w:asciiTheme="majorHAnsi" w:hAnsiTheme="majorHAnsi" w:cs="Times New Roman"/>
                <w:color w:val="000000"/>
                <w:sz w:val="18"/>
                <w:szCs w:val="18"/>
              </w:rPr>
            </w:pPr>
            <w:r w:rsidRPr="0012567B">
              <w:rPr>
                <w:rFonts w:asciiTheme="majorHAnsi" w:hAnsiTheme="majorHAnsi" w:cs="Times New Roman"/>
                <w:color w:val="000000"/>
                <w:sz w:val="18"/>
                <w:szCs w:val="18"/>
              </w:rPr>
              <w:t>TEC. PRODUC.</w:t>
            </w:r>
          </w:p>
        </w:tc>
        <w:tc>
          <w:tcPr>
            <w:tcW w:w="130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c>
          <w:tcPr>
            <w:tcW w:w="1380" w:type="dxa"/>
            <w:tcBorders>
              <w:top w:val="nil"/>
              <w:left w:val="nil"/>
              <w:bottom w:val="nil"/>
              <w:right w:val="nil"/>
            </w:tcBorders>
            <w:shd w:val="clear" w:color="auto" w:fill="auto"/>
            <w:noWrap/>
            <w:vAlign w:val="bottom"/>
            <w:hideMark/>
          </w:tcPr>
          <w:p w:rsidR="0012567B" w:rsidRPr="0012567B" w:rsidRDefault="0012567B" w:rsidP="0012567B">
            <w:pPr>
              <w:widowControl/>
              <w:autoSpaceDE/>
              <w:autoSpaceDN/>
              <w:adjustRightInd/>
              <w:jc w:val="center"/>
              <w:rPr>
                <w:rFonts w:asciiTheme="majorHAnsi" w:hAnsiTheme="majorHAnsi" w:cs="Times New Roman"/>
                <w:color w:val="000000"/>
                <w:sz w:val="18"/>
                <w:szCs w:val="18"/>
              </w:rPr>
            </w:pPr>
            <w:r w:rsidRPr="0012567B">
              <w:rPr>
                <w:rFonts w:asciiTheme="majorHAnsi" w:hAnsiTheme="majorHAnsi" w:cs="Times New Roman"/>
                <w:color w:val="000000"/>
                <w:sz w:val="18"/>
                <w:szCs w:val="18"/>
              </w:rPr>
              <w:t>0,88</w:t>
            </w:r>
          </w:p>
        </w:tc>
      </w:tr>
      <w:tr w:rsidR="0012567B" w:rsidRPr="0012567B" w:rsidTr="0012567B">
        <w:trPr>
          <w:trHeight w:hRule="exact" w:val="315"/>
          <w:jc w:val="center"/>
        </w:trPr>
        <w:tc>
          <w:tcPr>
            <w:tcW w:w="2860" w:type="dxa"/>
            <w:tcBorders>
              <w:top w:val="nil"/>
              <w:left w:val="nil"/>
              <w:bottom w:val="single" w:sz="8" w:space="0" w:color="auto"/>
              <w:right w:val="nil"/>
            </w:tcBorders>
            <w:shd w:val="clear" w:color="auto" w:fill="auto"/>
            <w:vAlign w:val="bottom"/>
            <w:hideMark/>
          </w:tcPr>
          <w:p w:rsidR="0012567B" w:rsidRPr="0012567B" w:rsidRDefault="00290D30" w:rsidP="00290D30">
            <w:pPr>
              <w:widowControl/>
              <w:autoSpaceDE/>
              <w:autoSpaceDN/>
              <w:adjustRightInd/>
              <w:rPr>
                <w:rFonts w:asciiTheme="majorHAnsi" w:hAnsiTheme="majorHAnsi" w:cs="Times New Roman"/>
                <w:b/>
                <w:bCs/>
                <w:color w:val="000000"/>
                <w:sz w:val="18"/>
                <w:szCs w:val="18"/>
              </w:rPr>
            </w:pPr>
            <w:r>
              <w:rPr>
                <w:rFonts w:asciiTheme="majorHAnsi" w:hAnsiTheme="majorHAnsi" w:cs="Times New Roman"/>
                <w:b/>
                <w:bCs/>
                <w:color w:val="000000"/>
                <w:sz w:val="18"/>
                <w:szCs w:val="18"/>
              </w:rPr>
              <w:t>T</w:t>
            </w:r>
            <w:r w:rsidR="0012567B" w:rsidRPr="0012567B">
              <w:rPr>
                <w:rFonts w:asciiTheme="majorHAnsi" w:hAnsiTheme="majorHAnsi" w:cs="Times New Roman"/>
                <w:b/>
                <w:bCs/>
                <w:color w:val="000000"/>
                <w:sz w:val="18"/>
                <w:szCs w:val="18"/>
              </w:rPr>
              <w:t>OTAL</w:t>
            </w:r>
          </w:p>
        </w:tc>
        <w:tc>
          <w:tcPr>
            <w:tcW w:w="1300" w:type="dxa"/>
            <w:tcBorders>
              <w:top w:val="nil"/>
              <w:left w:val="nil"/>
              <w:bottom w:val="single" w:sz="8" w:space="0" w:color="auto"/>
              <w:right w:val="nil"/>
            </w:tcBorders>
            <w:shd w:val="clear" w:color="auto" w:fill="auto"/>
            <w:vAlign w:val="bottom"/>
            <w:hideMark/>
          </w:tcPr>
          <w:p w:rsidR="0012567B" w:rsidRPr="0012567B" w:rsidRDefault="0012567B" w:rsidP="0012567B">
            <w:pPr>
              <w:widowControl/>
              <w:autoSpaceDE/>
              <w:autoSpaceDN/>
              <w:adjustRightInd/>
              <w:jc w:val="center"/>
              <w:rPr>
                <w:rFonts w:asciiTheme="majorHAnsi" w:hAnsiTheme="majorHAnsi" w:cs="Times New Roman"/>
                <w:b/>
                <w:bCs/>
                <w:color w:val="000000"/>
                <w:sz w:val="18"/>
                <w:szCs w:val="18"/>
              </w:rPr>
            </w:pPr>
            <w:r w:rsidRPr="0012567B">
              <w:rPr>
                <w:rFonts w:asciiTheme="majorHAnsi" w:hAnsiTheme="majorHAnsi" w:cs="Times New Roman"/>
                <w:b/>
                <w:bCs/>
                <w:color w:val="000000"/>
                <w:sz w:val="18"/>
                <w:szCs w:val="18"/>
              </w:rPr>
              <w:t>71,28</w:t>
            </w:r>
          </w:p>
        </w:tc>
        <w:tc>
          <w:tcPr>
            <w:tcW w:w="1380" w:type="dxa"/>
            <w:tcBorders>
              <w:top w:val="nil"/>
              <w:left w:val="nil"/>
              <w:bottom w:val="single" w:sz="8" w:space="0" w:color="auto"/>
              <w:right w:val="nil"/>
            </w:tcBorders>
            <w:shd w:val="clear" w:color="auto" w:fill="auto"/>
            <w:vAlign w:val="bottom"/>
            <w:hideMark/>
          </w:tcPr>
          <w:p w:rsidR="0012567B" w:rsidRPr="0012567B" w:rsidRDefault="0012567B" w:rsidP="0012567B">
            <w:pPr>
              <w:widowControl/>
              <w:autoSpaceDE/>
              <w:autoSpaceDN/>
              <w:adjustRightInd/>
              <w:jc w:val="center"/>
              <w:rPr>
                <w:rFonts w:asciiTheme="majorHAnsi" w:hAnsiTheme="majorHAnsi" w:cs="Times New Roman"/>
                <w:b/>
                <w:bCs/>
                <w:color w:val="000000"/>
                <w:sz w:val="18"/>
                <w:szCs w:val="18"/>
              </w:rPr>
            </w:pPr>
            <w:r w:rsidRPr="0012567B">
              <w:rPr>
                <w:rFonts w:asciiTheme="majorHAnsi" w:hAnsiTheme="majorHAnsi" w:cs="Times New Roman"/>
                <w:b/>
                <w:bCs/>
                <w:color w:val="000000"/>
                <w:sz w:val="18"/>
                <w:szCs w:val="18"/>
              </w:rPr>
              <w:t>67,76</w:t>
            </w:r>
          </w:p>
        </w:tc>
      </w:tr>
    </w:tbl>
    <w:p w:rsidR="007279D5" w:rsidRDefault="007279D5" w:rsidP="00CC44B4">
      <w:pPr>
        <w:shd w:val="clear" w:color="auto" w:fill="FFFFFF"/>
        <w:ind w:firstLine="709"/>
        <w:jc w:val="both"/>
        <w:rPr>
          <w:rFonts w:ascii="Times New Roman" w:hAnsi="Times New Roman" w:cs="Times New Roman"/>
          <w:spacing w:val="-4"/>
          <w:sz w:val="22"/>
          <w:szCs w:val="22"/>
          <w:lang w:val="es-ES_tradnl" w:eastAsia="es-ES_tradnl"/>
        </w:rPr>
      </w:pPr>
    </w:p>
    <w:p w:rsidR="0012567B" w:rsidRDefault="0012567B" w:rsidP="00CC44B4">
      <w:pPr>
        <w:shd w:val="clear" w:color="auto" w:fill="FFFFFF"/>
        <w:ind w:firstLine="709"/>
        <w:jc w:val="both"/>
        <w:rPr>
          <w:rFonts w:ascii="Times New Roman" w:hAnsi="Times New Roman" w:cs="Times New Roman"/>
          <w:spacing w:val="-4"/>
          <w:sz w:val="22"/>
          <w:szCs w:val="22"/>
          <w:lang w:val="es-ES_tradnl" w:eastAsia="es-ES_tradnl"/>
        </w:rPr>
      </w:pPr>
    </w:p>
    <w:p w:rsidR="0012567B" w:rsidRPr="0012567B" w:rsidRDefault="0012567B" w:rsidP="0012567B">
      <w:pPr>
        <w:widowControl/>
        <w:autoSpaceDE/>
        <w:autoSpaceDN/>
        <w:adjustRightInd/>
        <w:ind w:firstLine="709"/>
        <w:jc w:val="both"/>
        <w:rPr>
          <w:rFonts w:ascii="Times New Roman" w:hAnsi="Times New Roman" w:cs="Times New Roman"/>
          <w:spacing w:val="-3"/>
          <w:sz w:val="22"/>
          <w:szCs w:val="22"/>
          <w:lang w:val="es-ES_tradnl" w:eastAsia="es-ES_tradnl"/>
        </w:rPr>
      </w:pPr>
      <w:r w:rsidRPr="0012567B">
        <w:rPr>
          <w:rFonts w:ascii="Times New Roman" w:hAnsi="Times New Roman" w:cs="Times New Roman"/>
          <w:spacing w:val="-3"/>
          <w:sz w:val="22"/>
          <w:szCs w:val="22"/>
          <w:lang w:val="es-ES_tradnl" w:eastAsia="es-ES_tradnl"/>
        </w:rPr>
        <w:t>La media del personal disca</w:t>
      </w:r>
      <w:r w:rsidR="00D31418">
        <w:rPr>
          <w:rFonts w:ascii="Times New Roman" w:hAnsi="Times New Roman" w:cs="Times New Roman"/>
          <w:spacing w:val="-3"/>
          <w:sz w:val="22"/>
          <w:szCs w:val="22"/>
          <w:lang w:val="es-ES_tradnl" w:eastAsia="es-ES_tradnl"/>
        </w:rPr>
        <w:t>pacitado superior al 33% es de tres</w:t>
      </w:r>
      <w:r w:rsidRPr="0012567B">
        <w:rPr>
          <w:rFonts w:ascii="Times New Roman" w:hAnsi="Times New Roman" w:cs="Times New Roman"/>
          <w:spacing w:val="-3"/>
          <w:sz w:val="22"/>
          <w:szCs w:val="22"/>
          <w:lang w:val="es-ES_tradnl" w:eastAsia="es-ES_tradnl"/>
        </w:rPr>
        <w:t xml:space="preserve"> para ambos ejercicios.</w:t>
      </w:r>
    </w:p>
    <w:p w:rsidR="0012567B" w:rsidRDefault="0012567B" w:rsidP="00CC44B4">
      <w:pPr>
        <w:shd w:val="clear" w:color="auto" w:fill="FFFFFF"/>
        <w:ind w:firstLine="709"/>
        <w:jc w:val="both"/>
        <w:rPr>
          <w:rFonts w:ascii="Times New Roman" w:hAnsi="Times New Roman" w:cs="Times New Roman"/>
          <w:spacing w:val="-4"/>
          <w:sz w:val="22"/>
          <w:szCs w:val="22"/>
          <w:lang w:val="es-ES_tradnl" w:eastAsia="es-ES_tradnl"/>
        </w:rPr>
      </w:pPr>
    </w:p>
    <w:p w:rsidR="0012567B" w:rsidRPr="0012567B" w:rsidRDefault="0012567B" w:rsidP="0012567B">
      <w:pPr>
        <w:widowControl/>
        <w:autoSpaceDE/>
        <w:autoSpaceDN/>
        <w:adjustRightInd/>
        <w:ind w:firstLine="709"/>
        <w:jc w:val="both"/>
        <w:rPr>
          <w:rFonts w:ascii="Times New Roman" w:hAnsi="Times New Roman" w:cs="Times New Roman"/>
          <w:spacing w:val="-3"/>
          <w:sz w:val="22"/>
          <w:szCs w:val="22"/>
          <w:lang w:val="es-ES_tradnl" w:eastAsia="es-ES_tradnl"/>
        </w:rPr>
      </w:pPr>
      <w:r w:rsidRPr="0012567B">
        <w:rPr>
          <w:rFonts w:ascii="Times New Roman" w:hAnsi="Times New Roman" w:cs="Times New Roman"/>
          <w:spacing w:val="-3"/>
          <w:sz w:val="22"/>
          <w:szCs w:val="22"/>
          <w:lang w:val="es-ES_tradnl" w:eastAsia="es-ES_tradnl"/>
        </w:rPr>
        <w:t>La plantilla al cierre del ejercicio por categoría y sexo es la siguiente:</w:t>
      </w:r>
    </w:p>
    <w:p w:rsidR="00460D34" w:rsidRPr="0012567B" w:rsidRDefault="00460D34" w:rsidP="00CC44B4">
      <w:pPr>
        <w:shd w:val="clear" w:color="auto" w:fill="FFFFFF"/>
        <w:ind w:firstLine="709"/>
        <w:jc w:val="both"/>
        <w:rPr>
          <w:rFonts w:ascii="Times New Roman" w:hAnsi="Times New Roman" w:cs="Times New Roman"/>
          <w:spacing w:val="-4"/>
          <w:sz w:val="22"/>
          <w:szCs w:val="22"/>
          <w:lang w:eastAsia="es-ES_tradnl"/>
        </w:rPr>
      </w:pPr>
    </w:p>
    <w:tbl>
      <w:tblPr>
        <w:tblW w:w="5600" w:type="dxa"/>
        <w:jc w:val="center"/>
        <w:tblInd w:w="70" w:type="dxa"/>
        <w:tblCellMar>
          <w:left w:w="70" w:type="dxa"/>
          <w:right w:w="70" w:type="dxa"/>
        </w:tblCellMar>
        <w:tblLook w:val="04A0"/>
      </w:tblPr>
      <w:tblGrid>
        <w:gridCol w:w="1569"/>
        <w:gridCol w:w="883"/>
        <w:gridCol w:w="950"/>
        <w:gridCol w:w="1276"/>
        <w:gridCol w:w="922"/>
      </w:tblGrid>
      <w:tr w:rsidR="00D23ACE" w:rsidRPr="00D23ACE" w:rsidTr="00D23ACE">
        <w:trPr>
          <w:trHeight w:val="491"/>
          <w:jc w:val="center"/>
        </w:trPr>
        <w:tc>
          <w:tcPr>
            <w:tcW w:w="1569" w:type="dxa"/>
            <w:tcBorders>
              <w:top w:val="single" w:sz="8" w:space="0" w:color="auto"/>
              <w:left w:val="nil"/>
              <w:bottom w:val="single" w:sz="8" w:space="0" w:color="auto"/>
              <w:right w:val="nil"/>
            </w:tcBorders>
            <w:shd w:val="clear" w:color="000000" w:fill="F2F2F2"/>
            <w:noWrap/>
            <w:vAlign w:val="bottom"/>
            <w:hideMark/>
          </w:tcPr>
          <w:p w:rsidR="00D23ACE" w:rsidRPr="00D23ACE" w:rsidRDefault="00D23ACE" w:rsidP="00D23ACE">
            <w:pPr>
              <w:widowControl/>
              <w:autoSpaceDE/>
              <w:autoSpaceDN/>
              <w:adjustRightInd/>
              <w:rPr>
                <w:rFonts w:ascii="Cambria" w:hAnsi="Cambria" w:cs="Calibri"/>
                <w:b/>
                <w:bCs/>
                <w:color w:val="000000"/>
                <w:sz w:val="18"/>
                <w:szCs w:val="18"/>
              </w:rPr>
            </w:pPr>
            <w:r w:rsidRPr="00D23ACE">
              <w:rPr>
                <w:rFonts w:ascii="Cambria" w:hAnsi="Cambria" w:cs="Calibri"/>
                <w:b/>
                <w:bCs/>
                <w:color w:val="000000"/>
                <w:sz w:val="18"/>
                <w:szCs w:val="18"/>
              </w:rPr>
              <w:t xml:space="preserve">C a t e g o r í a </w:t>
            </w:r>
          </w:p>
        </w:tc>
        <w:tc>
          <w:tcPr>
            <w:tcW w:w="883" w:type="dxa"/>
            <w:tcBorders>
              <w:top w:val="single" w:sz="8" w:space="0" w:color="auto"/>
              <w:left w:val="nil"/>
              <w:bottom w:val="single" w:sz="8" w:space="0" w:color="auto"/>
              <w:right w:val="nil"/>
            </w:tcBorders>
            <w:shd w:val="clear" w:color="000000" w:fill="F2F2F2"/>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Hombre 2020</w:t>
            </w:r>
          </w:p>
        </w:tc>
        <w:tc>
          <w:tcPr>
            <w:tcW w:w="950" w:type="dxa"/>
            <w:tcBorders>
              <w:top w:val="single" w:sz="8" w:space="0" w:color="auto"/>
              <w:left w:val="nil"/>
              <w:bottom w:val="single" w:sz="8" w:space="0" w:color="auto"/>
              <w:right w:val="nil"/>
            </w:tcBorders>
            <w:shd w:val="clear" w:color="000000" w:fill="F2F2F2"/>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Mujer 2020</w:t>
            </w:r>
          </w:p>
        </w:tc>
        <w:tc>
          <w:tcPr>
            <w:tcW w:w="1276" w:type="dxa"/>
            <w:tcBorders>
              <w:top w:val="single" w:sz="8" w:space="0" w:color="auto"/>
              <w:left w:val="nil"/>
              <w:bottom w:val="single" w:sz="8" w:space="0" w:color="auto"/>
              <w:right w:val="nil"/>
            </w:tcBorders>
            <w:shd w:val="clear" w:color="000000" w:fill="F2F2F2"/>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Hombre 2019</w:t>
            </w:r>
          </w:p>
        </w:tc>
        <w:tc>
          <w:tcPr>
            <w:tcW w:w="922" w:type="dxa"/>
            <w:tcBorders>
              <w:top w:val="single" w:sz="8" w:space="0" w:color="auto"/>
              <w:left w:val="nil"/>
              <w:bottom w:val="single" w:sz="8" w:space="0" w:color="auto"/>
              <w:right w:val="nil"/>
            </w:tcBorders>
            <w:shd w:val="clear" w:color="000000" w:fill="F2F2F2"/>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Mujer 2019</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ADMINISTRATIVO</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4</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11</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3</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13</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ANIMD.SOC.CUL</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AUX. ADMIN.</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ENCARGADO</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MARKETING</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OFICIAL</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11</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9</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SECRETARIA</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TEC. AUX. BIBL.CO</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5</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TEC. AUX. BIBL.</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7</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19</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7</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17</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TEC. GES. MEDIO</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7</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6</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TEC. GRADO SUPE</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2</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TEC. MARKET.</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r>
      <w:tr w:rsidR="00D23ACE" w:rsidRPr="00D23ACE" w:rsidTr="00D23ACE">
        <w:trPr>
          <w:trHeight w:val="289"/>
          <w:jc w:val="center"/>
        </w:trPr>
        <w:tc>
          <w:tcPr>
            <w:tcW w:w="1569" w:type="dxa"/>
            <w:tcBorders>
              <w:top w:val="nil"/>
              <w:left w:val="nil"/>
              <w:bottom w:val="nil"/>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color w:val="000000"/>
                <w:sz w:val="18"/>
                <w:szCs w:val="18"/>
              </w:rPr>
            </w:pPr>
            <w:r w:rsidRPr="00D23ACE">
              <w:rPr>
                <w:rFonts w:ascii="Cambria" w:hAnsi="Cambria" w:cs="Calibri"/>
                <w:color w:val="000000"/>
                <w:sz w:val="18"/>
                <w:szCs w:val="18"/>
              </w:rPr>
              <w:t>TEC. PRODUC.</w:t>
            </w:r>
          </w:p>
        </w:tc>
        <w:tc>
          <w:tcPr>
            <w:tcW w:w="883"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50"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c>
          <w:tcPr>
            <w:tcW w:w="1276"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0</w:t>
            </w:r>
          </w:p>
        </w:tc>
        <w:tc>
          <w:tcPr>
            <w:tcW w:w="922" w:type="dxa"/>
            <w:tcBorders>
              <w:top w:val="nil"/>
              <w:left w:val="nil"/>
              <w:bottom w:val="nil"/>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color w:val="000000"/>
                <w:sz w:val="18"/>
                <w:szCs w:val="18"/>
              </w:rPr>
            </w:pPr>
            <w:r w:rsidRPr="00D23ACE">
              <w:rPr>
                <w:rFonts w:ascii="Cambria" w:hAnsi="Cambria" w:cs="Calibri"/>
                <w:color w:val="000000"/>
                <w:sz w:val="18"/>
                <w:szCs w:val="18"/>
              </w:rPr>
              <w:t>1</w:t>
            </w:r>
          </w:p>
        </w:tc>
      </w:tr>
      <w:tr w:rsidR="00D23ACE" w:rsidRPr="00D23ACE" w:rsidTr="00D23ACE">
        <w:trPr>
          <w:trHeight w:val="303"/>
          <w:jc w:val="center"/>
        </w:trPr>
        <w:tc>
          <w:tcPr>
            <w:tcW w:w="1569" w:type="dxa"/>
            <w:tcBorders>
              <w:top w:val="nil"/>
              <w:left w:val="nil"/>
              <w:bottom w:val="single" w:sz="8" w:space="0" w:color="auto"/>
              <w:right w:val="nil"/>
            </w:tcBorders>
            <w:shd w:val="clear" w:color="auto" w:fill="auto"/>
            <w:noWrap/>
            <w:vAlign w:val="bottom"/>
            <w:hideMark/>
          </w:tcPr>
          <w:p w:rsidR="00D23ACE" w:rsidRPr="00D23ACE" w:rsidRDefault="00D23ACE" w:rsidP="00D23ACE">
            <w:pPr>
              <w:widowControl/>
              <w:autoSpaceDE/>
              <w:autoSpaceDN/>
              <w:adjustRightInd/>
              <w:rPr>
                <w:rFonts w:ascii="Cambria" w:hAnsi="Cambria" w:cs="Calibri"/>
                <w:b/>
                <w:bCs/>
                <w:color w:val="000000"/>
                <w:sz w:val="18"/>
                <w:szCs w:val="18"/>
              </w:rPr>
            </w:pPr>
            <w:r w:rsidRPr="00D23ACE">
              <w:rPr>
                <w:rFonts w:ascii="Cambria" w:hAnsi="Cambria" w:cs="Calibri"/>
                <w:b/>
                <w:bCs/>
                <w:color w:val="000000"/>
                <w:sz w:val="18"/>
                <w:szCs w:val="18"/>
              </w:rPr>
              <w:t>T O T A L</w:t>
            </w:r>
          </w:p>
        </w:tc>
        <w:tc>
          <w:tcPr>
            <w:tcW w:w="883" w:type="dxa"/>
            <w:tcBorders>
              <w:top w:val="nil"/>
              <w:left w:val="nil"/>
              <w:bottom w:val="single" w:sz="8" w:space="0" w:color="auto"/>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28</w:t>
            </w:r>
          </w:p>
        </w:tc>
        <w:tc>
          <w:tcPr>
            <w:tcW w:w="950" w:type="dxa"/>
            <w:tcBorders>
              <w:top w:val="nil"/>
              <w:left w:val="nil"/>
              <w:bottom w:val="single" w:sz="8" w:space="0" w:color="auto"/>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49</w:t>
            </w:r>
          </w:p>
        </w:tc>
        <w:tc>
          <w:tcPr>
            <w:tcW w:w="1276" w:type="dxa"/>
            <w:tcBorders>
              <w:top w:val="nil"/>
              <w:left w:val="nil"/>
              <w:bottom w:val="single" w:sz="8" w:space="0" w:color="auto"/>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28</w:t>
            </w:r>
          </w:p>
        </w:tc>
        <w:tc>
          <w:tcPr>
            <w:tcW w:w="922" w:type="dxa"/>
            <w:tcBorders>
              <w:top w:val="nil"/>
              <w:left w:val="nil"/>
              <w:bottom w:val="single" w:sz="8" w:space="0" w:color="auto"/>
              <w:right w:val="nil"/>
            </w:tcBorders>
            <w:shd w:val="clear" w:color="auto" w:fill="auto"/>
            <w:vAlign w:val="bottom"/>
            <w:hideMark/>
          </w:tcPr>
          <w:p w:rsidR="00D23ACE" w:rsidRPr="00D23ACE" w:rsidRDefault="00D23ACE" w:rsidP="00D23ACE">
            <w:pPr>
              <w:widowControl/>
              <w:autoSpaceDE/>
              <w:autoSpaceDN/>
              <w:adjustRightInd/>
              <w:jc w:val="center"/>
              <w:rPr>
                <w:rFonts w:ascii="Cambria" w:hAnsi="Cambria" w:cs="Calibri"/>
                <w:b/>
                <w:bCs/>
                <w:color w:val="000000"/>
                <w:sz w:val="18"/>
                <w:szCs w:val="18"/>
              </w:rPr>
            </w:pPr>
            <w:r w:rsidRPr="00D23ACE">
              <w:rPr>
                <w:rFonts w:ascii="Cambria" w:hAnsi="Cambria" w:cs="Calibri"/>
                <w:b/>
                <w:bCs/>
                <w:color w:val="000000"/>
                <w:sz w:val="18"/>
                <w:szCs w:val="18"/>
              </w:rPr>
              <w:t>44</w:t>
            </w:r>
          </w:p>
        </w:tc>
      </w:tr>
    </w:tbl>
    <w:p w:rsidR="009E7FDA" w:rsidRDefault="009E7FDA" w:rsidP="00510D63">
      <w:pPr>
        <w:pStyle w:val="Default"/>
        <w:ind w:left="709"/>
        <w:jc w:val="both"/>
        <w:rPr>
          <w:rFonts w:ascii="Times New Roman" w:hAnsi="Times New Roman" w:cs="Times New Roman"/>
          <w:color w:val="auto"/>
          <w:spacing w:val="-3"/>
          <w:sz w:val="22"/>
          <w:szCs w:val="22"/>
          <w:lang w:val="es-ES_tradnl" w:eastAsia="es-ES_tradnl"/>
        </w:rPr>
      </w:pPr>
    </w:p>
    <w:p w:rsidR="001B37C5" w:rsidRDefault="001B37C5" w:rsidP="00510D63">
      <w:pPr>
        <w:pStyle w:val="Default"/>
        <w:ind w:left="709"/>
        <w:jc w:val="both"/>
        <w:rPr>
          <w:rFonts w:ascii="Times New Roman" w:hAnsi="Times New Roman" w:cs="Times New Roman"/>
          <w:color w:val="auto"/>
          <w:spacing w:val="-3"/>
          <w:sz w:val="22"/>
          <w:szCs w:val="22"/>
          <w:lang w:val="es-ES_tradnl" w:eastAsia="es-ES_tradnl"/>
        </w:rPr>
      </w:pPr>
    </w:p>
    <w:p w:rsidR="0012567B" w:rsidRPr="0012567B" w:rsidRDefault="0012567B" w:rsidP="0012567B">
      <w:pPr>
        <w:widowControl/>
        <w:autoSpaceDE/>
        <w:autoSpaceDN/>
        <w:adjustRightInd/>
        <w:ind w:firstLine="709"/>
        <w:rPr>
          <w:rFonts w:ascii="Times New Roman" w:hAnsi="Times New Roman" w:cs="Times New Roman"/>
          <w:spacing w:val="-3"/>
          <w:sz w:val="22"/>
          <w:szCs w:val="22"/>
          <w:lang w:val="es-ES_tradnl" w:eastAsia="es-ES_tradnl"/>
        </w:rPr>
      </w:pPr>
      <w:r w:rsidRPr="0012567B">
        <w:rPr>
          <w:rFonts w:ascii="Times New Roman" w:hAnsi="Times New Roman" w:cs="Times New Roman"/>
          <w:spacing w:val="-3"/>
          <w:sz w:val="22"/>
          <w:szCs w:val="22"/>
          <w:lang w:val="es-ES_tradnl" w:eastAsia="es-ES_tradnl"/>
        </w:rPr>
        <w:t>Al cierre del ejercicio el personal con discapacidad superior al 33% es:</w:t>
      </w:r>
    </w:p>
    <w:p w:rsidR="0012567B" w:rsidRPr="0012567B" w:rsidRDefault="0012567B" w:rsidP="0012567B">
      <w:pPr>
        <w:widowControl/>
        <w:autoSpaceDE/>
        <w:autoSpaceDN/>
        <w:adjustRightInd/>
        <w:rPr>
          <w:rFonts w:ascii="Calibri" w:hAnsi="Calibri" w:cs="Calibri"/>
          <w:color w:val="0000FF"/>
          <w:sz w:val="22"/>
          <w:szCs w:val="22"/>
        </w:rPr>
      </w:pPr>
    </w:p>
    <w:tbl>
      <w:tblPr>
        <w:tblW w:w="2793" w:type="dxa"/>
        <w:jc w:val="center"/>
        <w:tblInd w:w="70" w:type="dxa"/>
        <w:tblCellMar>
          <w:left w:w="70" w:type="dxa"/>
          <w:right w:w="70" w:type="dxa"/>
        </w:tblCellMar>
        <w:tblLook w:val="04A0"/>
      </w:tblPr>
      <w:tblGrid>
        <w:gridCol w:w="1447"/>
        <w:gridCol w:w="673"/>
        <w:gridCol w:w="673"/>
      </w:tblGrid>
      <w:tr w:rsidR="00D31418" w:rsidTr="00290D30">
        <w:trPr>
          <w:trHeight w:val="300"/>
          <w:jc w:val="center"/>
        </w:trPr>
        <w:tc>
          <w:tcPr>
            <w:tcW w:w="1447" w:type="dxa"/>
            <w:tcBorders>
              <w:top w:val="single" w:sz="8" w:space="0" w:color="auto"/>
              <w:left w:val="nil"/>
              <w:bottom w:val="single" w:sz="4" w:space="0" w:color="auto"/>
              <w:right w:val="nil"/>
            </w:tcBorders>
            <w:shd w:val="clear" w:color="000000" w:fill="F2F2F2"/>
            <w:vAlign w:val="bottom"/>
            <w:hideMark/>
          </w:tcPr>
          <w:p w:rsidR="00D31418" w:rsidRDefault="00D31418">
            <w:pPr>
              <w:rPr>
                <w:rFonts w:ascii="Cambria" w:hAnsi="Cambria" w:cs="Calibri"/>
                <w:b/>
                <w:bCs/>
                <w:color w:val="000000"/>
                <w:sz w:val="18"/>
                <w:szCs w:val="18"/>
              </w:rPr>
            </w:pPr>
            <w:r>
              <w:rPr>
                <w:rFonts w:ascii="Cambria" w:hAnsi="Cambria" w:cs="Calibri"/>
                <w:b/>
                <w:bCs/>
                <w:color w:val="000000"/>
                <w:sz w:val="18"/>
                <w:szCs w:val="18"/>
              </w:rPr>
              <w:t>Categoría</w:t>
            </w:r>
          </w:p>
        </w:tc>
        <w:tc>
          <w:tcPr>
            <w:tcW w:w="673" w:type="dxa"/>
            <w:tcBorders>
              <w:top w:val="single" w:sz="8" w:space="0" w:color="auto"/>
              <w:left w:val="nil"/>
              <w:bottom w:val="nil"/>
              <w:right w:val="nil"/>
            </w:tcBorders>
            <w:shd w:val="clear" w:color="000000" w:fill="F2F2F2"/>
            <w:vAlign w:val="bottom"/>
            <w:hideMark/>
          </w:tcPr>
          <w:p w:rsidR="00D31418" w:rsidRDefault="00D31418">
            <w:pPr>
              <w:jc w:val="right"/>
              <w:rPr>
                <w:rFonts w:ascii="Cambria" w:hAnsi="Cambria" w:cs="Calibri"/>
                <w:b/>
                <w:bCs/>
                <w:color w:val="000000"/>
                <w:sz w:val="18"/>
                <w:szCs w:val="18"/>
              </w:rPr>
            </w:pPr>
            <w:r>
              <w:rPr>
                <w:rFonts w:ascii="Cambria" w:hAnsi="Cambria" w:cs="Calibri"/>
                <w:b/>
                <w:bCs/>
                <w:color w:val="000000"/>
                <w:sz w:val="18"/>
                <w:szCs w:val="18"/>
              </w:rPr>
              <w:t>2020</w:t>
            </w:r>
          </w:p>
        </w:tc>
        <w:tc>
          <w:tcPr>
            <w:tcW w:w="673" w:type="dxa"/>
            <w:tcBorders>
              <w:top w:val="single" w:sz="8" w:space="0" w:color="auto"/>
              <w:left w:val="nil"/>
              <w:bottom w:val="nil"/>
              <w:right w:val="nil"/>
            </w:tcBorders>
            <w:shd w:val="clear" w:color="000000" w:fill="F2F2F2"/>
            <w:vAlign w:val="bottom"/>
            <w:hideMark/>
          </w:tcPr>
          <w:p w:rsidR="00D31418" w:rsidRDefault="00D31418">
            <w:pPr>
              <w:jc w:val="right"/>
              <w:rPr>
                <w:rFonts w:ascii="Cambria" w:hAnsi="Cambria" w:cs="Calibri"/>
                <w:b/>
                <w:bCs/>
                <w:color w:val="000000"/>
                <w:sz w:val="18"/>
                <w:szCs w:val="18"/>
              </w:rPr>
            </w:pPr>
            <w:r>
              <w:rPr>
                <w:rFonts w:ascii="Cambria" w:hAnsi="Cambria" w:cs="Calibri"/>
                <w:b/>
                <w:bCs/>
                <w:color w:val="000000"/>
                <w:sz w:val="18"/>
                <w:szCs w:val="18"/>
              </w:rPr>
              <w:t>2019</w:t>
            </w:r>
          </w:p>
        </w:tc>
      </w:tr>
      <w:tr w:rsidR="00D31418" w:rsidTr="00290D30">
        <w:trPr>
          <w:trHeight w:val="300"/>
          <w:jc w:val="center"/>
        </w:trPr>
        <w:tc>
          <w:tcPr>
            <w:tcW w:w="1447" w:type="dxa"/>
            <w:tcBorders>
              <w:top w:val="nil"/>
              <w:left w:val="nil"/>
              <w:bottom w:val="nil"/>
              <w:right w:val="nil"/>
            </w:tcBorders>
            <w:shd w:val="clear" w:color="auto" w:fill="auto"/>
            <w:noWrap/>
            <w:vAlign w:val="bottom"/>
            <w:hideMark/>
          </w:tcPr>
          <w:p w:rsidR="00D31418" w:rsidRDefault="00D31418">
            <w:pPr>
              <w:rPr>
                <w:rFonts w:ascii="Cambria" w:hAnsi="Cambria" w:cs="Calibri"/>
                <w:color w:val="000000"/>
                <w:sz w:val="18"/>
                <w:szCs w:val="18"/>
              </w:rPr>
            </w:pPr>
            <w:r>
              <w:rPr>
                <w:rFonts w:ascii="Cambria" w:hAnsi="Cambria" w:cs="Calibri"/>
                <w:color w:val="000000"/>
                <w:sz w:val="18"/>
                <w:szCs w:val="18"/>
              </w:rPr>
              <w:t>AUX. ADMIN.</w:t>
            </w:r>
          </w:p>
        </w:tc>
        <w:tc>
          <w:tcPr>
            <w:tcW w:w="673" w:type="dxa"/>
            <w:tcBorders>
              <w:top w:val="single" w:sz="4" w:space="0" w:color="auto"/>
              <w:left w:val="nil"/>
              <w:bottom w:val="nil"/>
              <w:right w:val="nil"/>
            </w:tcBorders>
            <w:shd w:val="clear" w:color="auto" w:fill="auto"/>
            <w:vAlign w:val="bottom"/>
            <w:hideMark/>
          </w:tcPr>
          <w:p w:rsidR="00D31418" w:rsidRDefault="00D31418">
            <w:pPr>
              <w:jc w:val="right"/>
              <w:rPr>
                <w:rFonts w:ascii="Cambria" w:hAnsi="Cambria" w:cs="Calibri"/>
                <w:color w:val="000000"/>
                <w:sz w:val="18"/>
                <w:szCs w:val="18"/>
              </w:rPr>
            </w:pPr>
            <w:r>
              <w:rPr>
                <w:rFonts w:ascii="Cambria" w:hAnsi="Cambria" w:cs="Calibri"/>
                <w:color w:val="000000"/>
                <w:sz w:val="18"/>
                <w:szCs w:val="18"/>
              </w:rPr>
              <w:t>2</w:t>
            </w:r>
          </w:p>
        </w:tc>
        <w:tc>
          <w:tcPr>
            <w:tcW w:w="673" w:type="dxa"/>
            <w:tcBorders>
              <w:top w:val="single" w:sz="4" w:space="0" w:color="auto"/>
              <w:left w:val="nil"/>
              <w:bottom w:val="nil"/>
              <w:right w:val="nil"/>
            </w:tcBorders>
            <w:shd w:val="clear" w:color="auto" w:fill="auto"/>
            <w:vAlign w:val="bottom"/>
            <w:hideMark/>
          </w:tcPr>
          <w:p w:rsidR="00D31418" w:rsidRDefault="00D31418">
            <w:pPr>
              <w:jc w:val="right"/>
              <w:rPr>
                <w:rFonts w:ascii="Cambria" w:hAnsi="Cambria" w:cs="Calibri"/>
                <w:color w:val="000000"/>
                <w:sz w:val="18"/>
                <w:szCs w:val="18"/>
              </w:rPr>
            </w:pPr>
            <w:r>
              <w:rPr>
                <w:rFonts w:ascii="Cambria" w:hAnsi="Cambria" w:cs="Calibri"/>
                <w:color w:val="000000"/>
                <w:sz w:val="18"/>
                <w:szCs w:val="18"/>
              </w:rPr>
              <w:t>2</w:t>
            </w:r>
          </w:p>
        </w:tc>
      </w:tr>
      <w:tr w:rsidR="00D31418" w:rsidTr="00290D30">
        <w:trPr>
          <w:trHeight w:val="300"/>
          <w:jc w:val="center"/>
        </w:trPr>
        <w:tc>
          <w:tcPr>
            <w:tcW w:w="1447" w:type="dxa"/>
            <w:tcBorders>
              <w:top w:val="nil"/>
              <w:left w:val="nil"/>
              <w:bottom w:val="nil"/>
              <w:right w:val="nil"/>
            </w:tcBorders>
            <w:shd w:val="clear" w:color="auto" w:fill="auto"/>
            <w:noWrap/>
            <w:vAlign w:val="bottom"/>
            <w:hideMark/>
          </w:tcPr>
          <w:p w:rsidR="00D31418" w:rsidRDefault="00D31418">
            <w:pPr>
              <w:rPr>
                <w:rFonts w:ascii="Cambria" w:hAnsi="Cambria" w:cs="Calibri"/>
                <w:color w:val="000000"/>
                <w:sz w:val="18"/>
                <w:szCs w:val="18"/>
              </w:rPr>
            </w:pPr>
            <w:r>
              <w:rPr>
                <w:rFonts w:ascii="Cambria" w:hAnsi="Cambria" w:cs="Calibri"/>
                <w:color w:val="000000"/>
                <w:sz w:val="18"/>
                <w:szCs w:val="18"/>
              </w:rPr>
              <w:t>TEC. AUX. BIBL.</w:t>
            </w:r>
          </w:p>
        </w:tc>
        <w:tc>
          <w:tcPr>
            <w:tcW w:w="673" w:type="dxa"/>
            <w:tcBorders>
              <w:top w:val="nil"/>
              <w:left w:val="nil"/>
              <w:bottom w:val="nil"/>
              <w:right w:val="nil"/>
            </w:tcBorders>
            <w:shd w:val="clear" w:color="auto" w:fill="auto"/>
            <w:vAlign w:val="bottom"/>
            <w:hideMark/>
          </w:tcPr>
          <w:p w:rsidR="00D31418" w:rsidRDefault="00D31418">
            <w:pPr>
              <w:jc w:val="right"/>
              <w:rPr>
                <w:rFonts w:ascii="Cambria" w:hAnsi="Cambria" w:cs="Calibri"/>
                <w:color w:val="000000"/>
                <w:sz w:val="18"/>
                <w:szCs w:val="18"/>
              </w:rPr>
            </w:pPr>
            <w:r>
              <w:rPr>
                <w:rFonts w:ascii="Cambria" w:hAnsi="Cambria" w:cs="Calibri"/>
                <w:color w:val="000000"/>
                <w:sz w:val="18"/>
                <w:szCs w:val="18"/>
              </w:rPr>
              <w:t>1</w:t>
            </w:r>
          </w:p>
        </w:tc>
        <w:tc>
          <w:tcPr>
            <w:tcW w:w="673" w:type="dxa"/>
            <w:tcBorders>
              <w:top w:val="nil"/>
              <w:left w:val="nil"/>
              <w:bottom w:val="nil"/>
              <w:right w:val="nil"/>
            </w:tcBorders>
            <w:shd w:val="clear" w:color="auto" w:fill="auto"/>
            <w:vAlign w:val="bottom"/>
            <w:hideMark/>
          </w:tcPr>
          <w:p w:rsidR="00D31418" w:rsidRDefault="00D31418">
            <w:pPr>
              <w:jc w:val="right"/>
              <w:rPr>
                <w:rFonts w:ascii="Cambria" w:hAnsi="Cambria" w:cs="Calibri"/>
                <w:color w:val="000000"/>
                <w:sz w:val="18"/>
                <w:szCs w:val="18"/>
              </w:rPr>
            </w:pPr>
            <w:r>
              <w:rPr>
                <w:rFonts w:ascii="Cambria" w:hAnsi="Cambria" w:cs="Calibri"/>
                <w:color w:val="000000"/>
                <w:sz w:val="18"/>
                <w:szCs w:val="18"/>
              </w:rPr>
              <w:t>1</w:t>
            </w:r>
          </w:p>
        </w:tc>
      </w:tr>
      <w:tr w:rsidR="00D31418" w:rsidTr="00290D30">
        <w:trPr>
          <w:trHeight w:val="315"/>
          <w:jc w:val="center"/>
        </w:trPr>
        <w:tc>
          <w:tcPr>
            <w:tcW w:w="1447" w:type="dxa"/>
            <w:tcBorders>
              <w:top w:val="single" w:sz="4" w:space="0" w:color="auto"/>
              <w:left w:val="nil"/>
              <w:bottom w:val="single" w:sz="8" w:space="0" w:color="auto"/>
              <w:right w:val="nil"/>
            </w:tcBorders>
            <w:shd w:val="clear" w:color="auto" w:fill="auto"/>
            <w:noWrap/>
            <w:vAlign w:val="bottom"/>
            <w:hideMark/>
          </w:tcPr>
          <w:p w:rsidR="00D31418" w:rsidRDefault="00D31418">
            <w:pPr>
              <w:rPr>
                <w:rFonts w:ascii="Cambria" w:hAnsi="Cambria" w:cs="Calibri"/>
                <w:b/>
                <w:bCs/>
                <w:color w:val="000000"/>
                <w:sz w:val="18"/>
                <w:szCs w:val="18"/>
              </w:rPr>
            </w:pPr>
            <w:r>
              <w:rPr>
                <w:rFonts w:ascii="Cambria" w:hAnsi="Cambria" w:cs="Calibri"/>
                <w:b/>
                <w:bCs/>
                <w:color w:val="000000"/>
                <w:sz w:val="18"/>
                <w:szCs w:val="18"/>
              </w:rPr>
              <w:t>TOTAL</w:t>
            </w:r>
          </w:p>
        </w:tc>
        <w:tc>
          <w:tcPr>
            <w:tcW w:w="673" w:type="dxa"/>
            <w:tcBorders>
              <w:top w:val="single" w:sz="4" w:space="0" w:color="auto"/>
              <w:left w:val="nil"/>
              <w:bottom w:val="single" w:sz="8" w:space="0" w:color="auto"/>
              <w:right w:val="nil"/>
            </w:tcBorders>
            <w:shd w:val="clear" w:color="auto" w:fill="auto"/>
            <w:noWrap/>
            <w:vAlign w:val="bottom"/>
            <w:hideMark/>
          </w:tcPr>
          <w:p w:rsidR="00D31418" w:rsidRDefault="00D31418">
            <w:pPr>
              <w:jc w:val="right"/>
              <w:rPr>
                <w:rFonts w:ascii="Cambria" w:hAnsi="Cambria" w:cs="Calibri"/>
                <w:b/>
                <w:bCs/>
                <w:color w:val="000000"/>
                <w:sz w:val="18"/>
                <w:szCs w:val="18"/>
              </w:rPr>
            </w:pPr>
            <w:r>
              <w:rPr>
                <w:rFonts w:ascii="Cambria" w:hAnsi="Cambria" w:cs="Calibri"/>
                <w:b/>
                <w:bCs/>
                <w:color w:val="000000"/>
                <w:sz w:val="18"/>
                <w:szCs w:val="18"/>
              </w:rPr>
              <w:t>3</w:t>
            </w:r>
          </w:p>
        </w:tc>
        <w:tc>
          <w:tcPr>
            <w:tcW w:w="673" w:type="dxa"/>
            <w:tcBorders>
              <w:top w:val="single" w:sz="4" w:space="0" w:color="auto"/>
              <w:left w:val="nil"/>
              <w:bottom w:val="single" w:sz="8" w:space="0" w:color="auto"/>
              <w:right w:val="nil"/>
            </w:tcBorders>
            <w:shd w:val="clear" w:color="auto" w:fill="auto"/>
            <w:noWrap/>
            <w:vAlign w:val="bottom"/>
            <w:hideMark/>
          </w:tcPr>
          <w:p w:rsidR="00D31418" w:rsidRDefault="00D31418">
            <w:pPr>
              <w:jc w:val="right"/>
              <w:rPr>
                <w:rFonts w:ascii="Cambria" w:hAnsi="Cambria" w:cs="Calibri"/>
                <w:b/>
                <w:bCs/>
                <w:color w:val="000000"/>
                <w:sz w:val="18"/>
                <w:szCs w:val="18"/>
              </w:rPr>
            </w:pPr>
            <w:r>
              <w:rPr>
                <w:rFonts w:ascii="Cambria" w:hAnsi="Cambria" w:cs="Calibri"/>
                <w:b/>
                <w:bCs/>
                <w:color w:val="000000"/>
                <w:sz w:val="18"/>
                <w:szCs w:val="18"/>
              </w:rPr>
              <w:t>3</w:t>
            </w:r>
          </w:p>
        </w:tc>
      </w:tr>
    </w:tbl>
    <w:p w:rsidR="0012567B" w:rsidRDefault="0012567B" w:rsidP="00510D63">
      <w:pPr>
        <w:pStyle w:val="Default"/>
        <w:ind w:left="709"/>
        <w:jc w:val="both"/>
        <w:rPr>
          <w:rFonts w:ascii="Times New Roman" w:hAnsi="Times New Roman" w:cs="Times New Roman"/>
          <w:color w:val="auto"/>
          <w:spacing w:val="-3"/>
          <w:sz w:val="22"/>
          <w:szCs w:val="22"/>
          <w:lang w:val="es-ES_tradnl" w:eastAsia="es-ES_tradnl"/>
        </w:rPr>
      </w:pPr>
    </w:p>
    <w:p w:rsidR="0012567B" w:rsidRDefault="0012567B" w:rsidP="00510D63">
      <w:pPr>
        <w:pStyle w:val="Default"/>
        <w:ind w:left="709"/>
        <w:jc w:val="both"/>
        <w:rPr>
          <w:rFonts w:ascii="Times New Roman" w:hAnsi="Times New Roman" w:cs="Times New Roman"/>
          <w:color w:val="auto"/>
          <w:spacing w:val="-3"/>
          <w:sz w:val="22"/>
          <w:szCs w:val="22"/>
          <w:lang w:val="es-ES_tradnl" w:eastAsia="es-ES_tradnl"/>
        </w:rPr>
      </w:pPr>
    </w:p>
    <w:p w:rsidR="00510D63" w:rsidRPr="00510D63" w:rsidRDefault="009E7FDA" w:rsidP="00510D63">
      <w:pPr>
        <w:pStyle w:val="Default"/>
        <w:ind w:left="709"/>
        <w:jc w:val="both"/>
        <w:rPr>
          <w:rFonts w:ascii="Times New Roman" w:hAnsi="Times New Roman" w:cs="Times New Roman"/>
          <w:color w:val="auto"/>
          <w:spacing w:val="-3"/>
          <w:sz w:val="22"/>
          <w:szCs w:val="22"/>
          <w:lang w:val="es-ES_tradnl" w:eastAsia="es-ES_tradnl"/>
        </w:rPr>
      </w:pPr>
      <w:r>
        <w:rPr>
          <w:rFonts w:ascii="Times New Roman" w:hAnsi="Times New Roman" w:cs="Times New Roman"/>
          <w:color w:val="auto"/>
          <w:spacing w:val="-3"/>
          <w:sz w:val="22"/>
          <w:szCs w:val="22"/>
          <w:lang w:val="es-ES_tradnl" w:eastAsia="es-ES_tradnl"/>
        </w:rPr>
        <w:t xml:space="preserve">Los honorarios de los auditores han ascendido a 5.922,60 euros en el presente ejercicio y a 5.232,67 euros en el ejercicio anterior. </w:t>
      </w:r>
      <w:r w:rsidR="00510D63" w:rsidRPr="00510D63">
        <w:rPr>
          <w:rFonts w:ascii="Times New Roman" w:hAnsi="Times New Roman" w:cs="Times New Roman"/>
          <w:color w:val="auto"/>
          <w:spacing w:val="-3"/>
          <w:sz w:val="22"/>
          <w:szCs w:val="22"/>
          <w:lang w:val="es-ES_tradnl" w:eastAsia="es-ES_tradnl"/>
        </w:rPr>
        <w:t>No se han facturado honorarios a la Sociedad por ninguna empresa del mismo grupo de la firma auditora, así como tampoco otras empresas en las que la firma auditora o sus socios estén vinculados por propiedad común, gestión o control.</w:t>
      </w:r>
    </w:p>
    <w:p w:rsidR="00510D63" w:rsidRPr="00510D63" w:rsidRDefault="00510D63" w:rsidP="00510D63">
      <w:pPr>
        <w:pStyle w:val="Default"/>
        <w:ind w:left="709"/>
        <w:jc w:val="both"/>
        <w:rPr>
          <w:rFonts w:ascii="Times New Roman" w:hAnsi="Times New Roman" w:cs="Times New Roman"/>
          <w:color w:val="auto"/>
          <w:spacing w:val="-3"/>
          <w:sz w:val="22"/>
          <w:szCs w:val="22"/>
          <w:lang w:val="es-ES_tradnl" w:eastAsia="es-ES_tradnl"/>
        </w:rPr>
      </w:pPr>
    </w:p>
    <w:p w:rsidR="00510D63" w:rsidRDefault="00510D63" w:rsidP="00F8206D">
      <w:pPr>
        <w:shd w:val="clear" w:color="auto" w:fill="FFFFFF"/>
        <w:ind w:left="709"/>
        <w:jc w:val="both"/>
        <w:rPr>
          <w:rFonts w:ascii="Times New Roman" w:hAnsi="Times New Roman" w:cs="Times New Roman"/>
          <w:color w:val="0000FF"/>
          <w:spacing w:val="-4"/>
          <w:sz w:val="22"/>
          <w:szCs w:val="22"/>
          <w:lang w:val="es-ES_tradnl" w:eastAsia="es-ES_tradnl"/>
        </w:rPr>
      </w:pPr>
    </w:p>
    <w:p w:rsidR="009E7FDA" w:rsidRPr="009E7FDA" w:rsidRDefault="009E7FDA" w:rsidP="009E7FDA">
      <w:pPr>
        <w:pStyle w:val="Default"/>
        <w:ind w:left="709"/>
        <w:jc w:val="both"/>
        <w:rPr>
          <w:rFonts w:ascii="Times New Roman" w:hAnsi="Times New Roman" w:cs="Times New Roman"/>
          <w:b/>
          <w:color w:val="auto"/>
          <w:spacing w:val="-3"/>
          <w:sz w:val="22"/>
          <w:szCs w:val="22"/>
          <w:u w:val="single"/>
          <w:lang w:val="es-ES_tradnl" w:eastAsia="es-ES_tradnl"/>
        </w:rPr>
      </w:pPr>
      <w:r w:rsidRPr="009E7FDA">
        <w:rPr>
          <w:rFonts w:ascii="Times New Roman" w:hAnsi="Times New Roman" w:cs="Times New Roman"/>
          <w:b/>
          <w:color w:val="auto"/>
          <w:spacing w:val="-3"/>
          <w:sz w:val="22"/>
          <w:szCs w:val="22"/>
          <w:u w:val="single"/>
          <w:lang w:val="es-ES_tradnl" w:eastAsia="es-ES_tradnl"/>
        </w:rPr>
        <w:t>Información sobre los aplazamientos de pago efectuados a proveedores requerida por la Disposición Adicional tercera de la Ley 15/2010, de 5 de julio</w:t>
      </w:r>
    </w:p>
    <w:p w:rsidR="009E7FDA" w:rsidRPr="009E7FDA"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rsidR="009E7FDA" w:rsidRPr="002545FD" w:rsidRDefault="009E7FDA" w:rsidP="009E7FDA">
      <w:pPr>
        <w:pStyle w:val="Default"/>
        <w:ind w:left="709"/>
        <w:jc w:val="both"/>
        <w:rPr>
          <w:rFonts w:ascii="Times New Roman" w:hAnsi="Times New Roman" w:cs="Times New Roman"/>
          <w:color w:val="auto"/>
          <w:spacing w:val="-3"/>
          <w:sz w:val="22"/>
          <w:szCs w:val="22"/>
          <w:lang w:val="es-ES_tradnl" w:eastAsia="es-ES_tradnl"/>
        </w:rPr>
      </w:pPr>
      <w:bookmarkStart w:id="15" w:name="OLE_LINK66"/>
      <w:bookmarkStart w:id="16" w:name="OLE_LINK67"/>
      <w:r w:rsidRPr="002545FD">
        <w:rPr>
          <w:rFonts w:ascii="Times New Roman" w:hAnsi="Times New Roman" w:cs="Times New Roman"/>
          <w:color w:val="auto"/>
          <w:spacing w:val="-3"/>
          <w:sz w:val="22"/>
          <w:szCs w:val="22"/>
          <w:lang w:val="es-ES_tradnl" w:eastAsia="es-ES_tradnl"/>
        </w:rPr>
        <w:t>En relación a la información requerida por la Disposición Adicional tercera de la Ley 15/2010, de 5 de julio y según la información exigida por la resolución de 29 de diciembre de 2010 del ICAC, se comunica lo siguiente:</w:t>
      </w:r>
      <w:bookmarkEnd w:id="15"/>
      <w:bookmarkEnd w:id="16"/>
    </w:p>
    <w:p w:rsidR="009E7FDA" w:rsidRPr="002545FD" w:rsidRDefault="009E7FDA" w:rsidP="009E7FDA">
      <w:pPr>
        <w:pStyle w:val="Default"/>
        <w:ind w:left="709"/>
        <w:jc w:val="both"/>
        <w:rPr>
          <w:rFonts w:ascii="Times New Roman" w:hAnsi="Times New Roman" w:cs="Times New Roman"/>
          <w:color w:val="auto"/>
          <w:spacing w:val="-3"/>
          <w:sz w:val="22"/>
          <w:szCs w:val="22"/>
          <w:lang w:val="es-ES_tradnl" w:eastAsia="es-ES_tradnl"/>
        </w:rPr>
      </w:pPr>
    </w:p>
    <w:tbl>
      <w:tblPr>
        <w:tblW w:w="5521" w:type="dxa"/>
        <w:jc w:val="center"/>
        <w:tblInd w:w="65" w:type="dxa"/>
        <w:tblCellMar>
          <w:left w:w="70" w:type="dxa"/>
          <w:right w:w="70" w:type="dxa"/>
        </w:tblCellMar>
        <w:tblLook w:val="04A0"/>
      </w:tblPr>
      <w:tblGrid>
        <w:gridCol w:w="3340"/>
        <w:gridCol w:w="1107"/>
        <w:gridCol w:w="1074"/>
      </w:tblGrid>
      <w:tr w:rsidR="002545FD" w:rsidTr="002545FD">
        <w:trPr>
          <w:trHeight w:val="300"/>
          <w:jc w:val="center"/>
        </w:trPr>
        <w:tc>
          <w:tcPr>
            <w:tcW w:w="33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 </w:t>
            </w:r>
          </w:p>
        </w:tc>
        <w:tc>
          <w:tcPr>
            <w:tcW w:w="1107" w:type="dxa"/>
            <w:tcBorders>
              <w:top w:val="single" w:sz="4" w:space="0" w:color="auto"/>
              <w:left w:val="nil"/>
              <w:bottom w:val="single" w:sz="4" w:space="0" w:color="auto"/>
              <w:right w:val="single" w:sz="4" w:space="0" w:color="auto"/>
            </w:tcBorders>
            <w:shd w:val="clear" w:color="000000" w:fill="F2F2F2"/>
            <w:noWrap/>
            <w:vAlign w:val="bottom"/>
            <w:hideMark/>
          </w:tcPr>
          <w:p w:rsidR="002545FD" w:rsidRDefault="002545FD">
            <w:pPr>
              <w:jc w:val="center"/>
              <w:rPr>
                <w:rFonts w:ascii="Cambria" w:hAnsi="Cambria" w:cs="Calibri"/>
                <w:b/>
                <w:bCs/>
                <w:sz w:val="18"/>
                <w:szCs w:val="18"/>
              </w:rPr>
            </w:pPr>
            <w:r>
              <w:rPr>
                <w:rFonts w:ascii="Cambria" w:hAnsi="Cambria" w:cs="Calibri"/>
                <w:b/>
                <w:bCs/>
                <w:sz w:val="18"/>
                <w:szCs w:val="18"/>
                <w:lang w:val="es-ES_tradnl"/>
              </w:rPr>
              <w:t>AÑO 2020</w:t>
            </w:r>
          </w:p>
        </w:tc>
        <w:tc>
          <w:tcPr>
            <w:tcW w:w="1074" w:type="dxa"/>
            <w:tcBorders>
              <w:top w:val="single" w:sz="4" w:space="0" w:color="auto"/>
              <w:left w:val="nil"/>
              <w:bottom w:val="single" w:sz="4" w:space="0" w:color="auto"/>
              <w:right w:val="single" w:sz="4" w:space="0" w:color="auto"/>
            </w:tcBorders>
            <w:shd w:val="clear" w:color="000000" w:fill="F2F2F2"/>
            <w:noWrap/>
            <w:vAlign w:val="bottom"/>
            <w:hideMark/>
          </w:tcPr>
          <w:p w:rsidR="002545FD" w:rsidRDefault="002545FD">
            <w:pPr>
              <w:jc w:val="center"/>
              <w:rPr>
                <w:rFonts w:ascii="Cambria" w:hAnsi="Cambria" w:cs="Calibri"/>
                <w:b/>
                <w:bCs/>
                <w:sz w:val="18"/>
                <w:szCs w:val="18"/>
              </w:rPr>
            </w:pPr>
            <w:r>
              <w:rPr>
                <w:rFonts w:ascii="Cambria" w:hAnsi="Cambria" w:cs="Calibri"/>
                <w:b/>
                <w:bCs/>
                <w:sz w:val="18"/>
                <w:szCs w:val="18"/>
                <w:lang w:val="es-ES_tradnl"/>
              </w:rPr>
              <w:t>AÑO 2019</w:t>
            </w:r>
          </w:p>
        </w:tc>
      </w:tr>
      <w:tr w:rsidR="002545FD" w:rsidTr="002545FD">
        <w:trPr>
          <w:trHeight w:val="300"/>
          <w:jc w:val="center"/>
        </w:trPr>
        <w:tc>
          <w:tcPr>
            <w:tcW w:w="3340" w:type="dxa"/>
            <w:vMerge/>
            <w:tcBorders>
              <w:top w:val="single" w:sz="4" w:space="0" w:color="auto"/>
              <w:left w:val="single" w:sz="4" w:space="0" w:color="auto"/>
              <w:bottom w:val="single" w:sz="4" w:space="0" w:color="auto"/>
              <w:right w:val="single" w:sz="4" w:space="0" w:color="auto"/>
            </w:tcBorders>
            <w:vAlign w:val="center"/>
            <w:hideMark/>
          </w:tcPr>
          <w:p w:rsidR="002545FD" w:rsidRDefault="002545FD">
            <w:pPr>
              <w:rPr>
                <w:rFonts w:ascii="Cambria" w:hAnsi="Cambria" w:cs="Calibri"/>
                <w:sz w:val="18"/>
                <w:szCs w:val="18"/>
              </w:rPr>
            </w:pPr>
          </w:p>
        </w:tc>
        <w:tc>
          <w:tcPr>
            <w:tcW w:w="1107" w:type="dxa"/>
            <w:tcBorders>
              <w:top w:val="nil"/>
              <w:left w:val="nil"/>
              <w:bottom w:val="single" w:sz="4" w:space="0" w:color="auto"/>
              <w:right w:val="single" w:sz="4" w:space="0" w:color="auto"/>
            </w:tcBorders>
            <w:shd w:val="clear" w:color="000000" w:fill="F2F2F2"/>
            <w:noWrap/>
            <w:vAlign w:val="bottom"/>
            <w:hideMark/>
          </w:tcPr>
          <w:p w:rsidR="002545FD" w:rsidRDefault="002545FD">
            <w:pPr>
              <w:jc w:val="center"/>
              <w:rPr>
                <w:rFonts w:ascii="Cambria" w:hAnsi="Cambria" w:cs="Calibri"/>
                <w:b/>
                <w:bCs/>
                <w:sz w:val="18"/>
                <w:szCs w:val="18"/>
              </w:rPr>
            </w:pPr>
            <w:r>
              <w:rPr>
                <w:rFonts w:ascii="Cambria" w:hAnsi="Cambria" w:cs="Calibri"/>
                <w:b/>
                <w:bCs/>
                <w:sz w:val="18"/>
                <w:szCs w:val="18"/>
                <w:lang w:val="es-ES_tradnl"/>
              </w:rPr>
              <w:t>DIAS</w:t>
            </w:r>
          </w:p>
        </w:tc>
        <w:tc>
          <w:tcPr>
            <w:tcW w:w="1074" w:type="dxa"/>
            <w:tcBorders>
              <w:top w:val="nil"/>
              <w:left w:val="nil"/>
              <w:bottom w:val="single" w:sz="4" w:space="0" w:color="auto"/>
              <w:right w:val="single" w:sz="4" w:space="0" w:color="auto"/>
            </w:tcBorders>
            <w:shd w:val="clear" w:color="000000" w:fill="F2F2F2"/>
            <w:noWrap/>
            <w:vAlign w:val="bottom"/>
            <w:hideMark/>
          </w:tcPr>
          <w:p w:rsidR="002545FD" w:rsidRDefault="002545FD">
            <w:pPr>
              <w:jc w:val="center"/>
              <w:rPr>
                <w:rFonts w:ascii="Cambria" w:hAnsi="Cambria" w:cs="Calibri"/>
                <w:b/>
                <w:bCs/>
                <w:sz w:val="18"/>
                <w:szCs w:val="18"/>
              </w:rPr>
            </w:pPr>
            <w:r>
              <w:rPr>
                <w:rFonts w:ascii="Cambria" w:hAnsi="Cambria" w:cs="Calibri"/>
                <w:b/>
                <w:bCs/>
                <w:sz w:val="18"/>
                <w:szCs w:val="18"/>
                <w:lang w:val="es-ES_tradnl"/>
              </w:rPr>
              <w:t>DIAS</w:t>
            </w:r>
          </w:p>
        </w:tc>
      </w:tr>
      <w:tr w:rsidR="002545FD" w:rsidTr="002545FD">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Periodo medio de pago a proveedores</w:t>
            </w:r>
          </w:p>
        </w:tc>
        <w:tc>
          <w:tcPr>
            <w:tcW w:w="1107"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244,61</w:t>
            </w:r>
          </w:p>
        </w:tc>
        <w:tc>
          <w:tcPr>
            <w:tcW w:w="1074"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137,9</w:t>
            </w:r>
          </w:p>
        </w:tc>
      </w:tr>
      <w:tr w:rsidR="002545FD" w:rsidTr="002545FD">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Ratio de operaciones pagadas</w:t>
            </w:r>
          </w:p>
        </w:tc>
        <w:tc>
          <w:tcPr>
            <w:tcW w:w="1107"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170,99</w:t>
            </w:r>
          </w:p>
        </w:tc>
        <w:tc>
          <w:tcPr>
            <w:tcW w:w="1074"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122,31</w:t>
            </w:r>
          </w:p>
        </w:tc>
      </w:tr>
      <w:tr w:rsidR="002545FD" w:rsidTr="002545FD">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Ratio de operaciones pendientes de pago</w:t>
            </w:r>
          </w:p>
        </w:tc>
        <w:tc>
          <w:tcPr>
            <w:tcW w:w="1107"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18,31</w:t>
            </w:r>
          </w:p>
        </w:tc>
        <w:tc>
          <w:tcPr>
            <w:tcW w:w="1074"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65,73</w:t>
            </w:r>
          </w:p>
        </w:tc>
      </w:tr>
      <w:tr w:rsidR="002545FD" w:rsidTr="002545FD">
        <w:trPr>
          <w:trHeight w:val="300"/>
          <w:jc w:val="center"/>
        </w:trPr>
        <w:tc>
          <w:tcPr>
            <w:tcW w:w="3340" w:type="dxa"/>
            <w:tcBorders>
              <w:top w:val="nil"/>
              <w:left w:val="single" w:sz="4" w:space="0" w:color="auto"/>
              <w:bottom w:val="single" w:sz="4" w:space="0" w:color="auto"/>
              <w:right w:val="single" w:sz="4" w:space="0" w:color="auto"/>
            </w:tcBorders>
            <w:shd w:val="clear" w:color="000000" w:fill="FFFFFF"/>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 </w:t>
            </w:r>
          </w:p>
        </w:tc>
        <w:tc>
          <w:tcPr>
            <w:tcW w:w="1107"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b/>
                <w:bCs/>
                <w:sz w:val="18"/>
                <w:szCs w:val="18"/>
              </w:rPr>
            </w:pPr>
            <w:r>
              <w:rPr>
                <w:rFonts w:ascii="Cambria" w:hAnsi="Cambria" w:cs="Calibri"/>
                <w:b/>
                <w:bCs/>
                <w:sz w:val="18"/>
                <w:szCs w:val="18"/>
                <w:lang w:val="es-ES_tradnl"/>
              </w:rPr>
              <w:t>IMPORTE</w:t>
            </w:r>
          </w:p>
        </w:tc>
        <w:tc>
          <w:tcPr>
            <w:tcW w:w="1074"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b/>
                <w:bCs/>
                <w:sz w:val="18"/>
                <w:szCs w:val="18"/>
              </w:rPr>
            </w:pPr>
            <w:r>
              <w:rPr>
                <w:rFonts w:ascii="Cambria" w:hAnsi="Cambria" w:cs="Calibri"/>
                <w:b/>
                <w:bCs/>
                <w:sz w:val="18"/>
                <w:szCs w:val="18"/>
                <w:lang w:val="es-ES_tradnl"/>
              </w:rPr>
              <w:t>IMPORTE</w:t>
            </w:r>
          </w:p>
        </w:tc>
      </w:tr>
      <w:tr w:rsidR="002545FD" w:rsidTr="002545FD">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Total pagos realizados</w:t>
            </w:r>
          </w:p>
        </w:tc>
        <w:tc>
          <w:tcPr>
            <w:tcW w:w="1107"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12.569.248</w:t>
            </w:r>
          </w:p>
        </w:tc>
        <w:tc>
          <w:tcPr>
            <w:tcW w:w="1074"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8.451.419</w:t>
            </w:r>
          </w:p>
        </w:tc>
      </w:tr>
      <w:tr w:rsidR="002545FD" w:rsidTr="002545FD">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2545FD" w:rsidRDefault="002545FD">
            <w:pPr>
              <w:rPr>
                <w:rFonts w:ascii="Cambria" w:hAnsi="Cambria" w:cs="Calibri"/>
                <w:sz w:val="18"/>
                <w:szCs w:val="18"/>
              </w:rPr>
            </w:pPr>
            <w:r>
              <w:rPr>
                <w:rFonts w:ascii="Cambria" w:hAnsi="Cambria" w:cs="Calibri"/>
                <w:sz w:val="18"/>
                <w:szCs w:val="18"/>
                <w:lang w:val="es-ES_tradnl"/>
              </w:rPr>
              <w:t>Total pagos pendientes</w:t>
            </w:r>
          </w:p>
        </w:tc>
        <w:tc>
          <w:tcPr>
            <w:tcW w:w="1107"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1.345.765</w:t>
            </w:r>
          </w:p>
        </w:tc>
        <w:tc>
          <w:tcPr>
            <w:tcW w:w="1074" w:type="dxa"/>
            <w:tcBorders>
              <w:top w:val="nil"/>
              <w:left w:val="nil"/>
              <w:bottom w:val="single" w:sz="4" w:space="0" w:color="auto"/>
              <w:right w:val="single" w:sz="4" w:space="0" w:color="auto"/>
            </w:tcBorders>
            <w:shd w:val="clear" w:color="auto" w:fill="auto"/>
            <w:noWrap/>
            <w:vAlign w:val="bottom"/>
            <w:hideMark/>
          </w:tcPr>
          <w:p w:rsidR="002545FD" w:rsidRDefault="002545FD">
            <w:pPr>
              <w:jc w:val="center"/>
              <w:rPr>
                <w:rFonts w:ascii="Cambria" w:hAnsi="Cambria" w:cs="Calibri"/>
                <w:sz w:val="18"/>
                <w:szCs w:val="18"/>
              </w:rPr>
            </w:pPr>
            <w:r>
              <w:rPr>
                <w:rFonts w:ascii="Cambria" w:hAnsi="Cambria" w:cs="Calibri"/>
                <w:sz w:val="18"/>
                <w:szCs w:val="18"/>
                <w:lang w:val="es-ES_tradnl"/>
              </w:rPr>
              <w:t>4.541.967</w:t>
            </w:r>
          </w:p>
        </w:tc>
      </w:tr>
    </w:tbl>
    <w:p w:rsidR="009E7FDA" w:rsidRPr="009E7FDA"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rsidR="005C4F30" w:rsidRPr="008D4649" w:rsidRDefault="006C3CB4" w:rsidP="009E7FDA">
      <w:pPr>
        <w:pStyle w:val="Default"/>
        <w:ind w:left="709"/>
        <w:jc w:val="both"/>
        <w:rPr>
          <w:rFonts w:ascii="Times New Roman" w:hAnsi="Times New Roman" w:cs="Times New Roman"/>
          <w:color w:val="auto"/>
          <w:spacing w:val="-3"/>
          <w:sz w:val="22"/>
          <w:szCs w:val="22"/>
          <w:lang w:val="es-ES_tradnl" w:eastAsia="es-ES_tradnl"/>
        </w:rPr>
      </w:pPr>
      <w:r w:rsidRPr="008D4649">
        <w:rPr>
          <w:rFonts w:ascii="Times New Roman" w:hAnsi="Times New Roman" w:cs="Times New Roman"/>
          <w:color w:val="auto"/>
          <w:spacing w:val="-3"/>
          <w:sz w:val="22"/>
          <w:szCs w:val="22"/>
          <w:lang w:val="es-ES_tradnl" w:eastAsia="es-ES_tradnl"/>
        </w:rPr>
        <w:t xml:space="preserve">El período medio de pago a proveedores anteriormente detallado se </w:t>
      </w:r>
      <w:r w:rsidR="00EF2A6A" w:rsidRPr="008D4649">
        <w:rPr>
          <w:rFonts w:ascii="Times New Roman" w:hAnsi="Times New Roman" w:cs="Times New Roman"/>
          <w:color w:val="auto"/>
          <w:spacing w:val="-3"/>
          <w:sz w:val="22"/>
          <w:szCs w:val="22"/>
          <w:lang w:val="es-ES_tradnl" w:eastAsia="es-ES_tradnl"/>
        </w:rPr>
        <w:t xml:space="preserve">ha </w:t>
      </w:r>
      <w:r w:rsidRPr="008D4649">
        <w:rPr>
          <w:rFonts w:ascii="Times New Roman" w:hAnsi="Times New Roman" w:cs="Times New Roman"/>
          <w:color w:val="auto"/>
          <w:spacing w:val="-3"/>
          <w:sz w:val="22"/>
          <w:szCs w:val="22"/>
          <w:lang w:val="es-ES_tradnl" w:eastAsia="es-ES_tradnl"/>
        </w:rPr>
        <w:t xml:space="preserve">calculado conforme a la Resolución de 29 de enero de 2016 del Instituto de Contabilidad y Auditoría de Cuentas para las sociedades mercantiles que formulan sus cuentas en el modelo normal de la Memoria, y tiene un carácter anual; el cual difiere del que la  entidad reporta al órgano municipal respectivo que tiene un carácter mensual y que el referido a Diciembre de 2020 reportó un período medio de pago de dicho mes de 6,77 </w:t>
      </w:r>
      <w:r w:rsidR="00115E1C" w:rsidRPr="008D4649">
        <w:rPr>
          <w:rFonts w:ascii="Times New Roman" w:hAnsi="Times New Roman" w:cs="Times New Roman"/>
          <w:color w:val="auto"/>
          <w:spacing w:val="-3"/>
          <w:sz w:val="22"/>
          <w:szCs w:val="22"/>
          <w:lang w:val="es-ES_tradnl" w:eastAsia="es-ES_tradnl"/>
        </w:rPr>
        <w:t>días</w:t>
      </w:r>
      <w:r w:rsidRPr="008D4649">
        <w:rPr>
          <w:rFonts w:ascii="Times New Roman" w:hAnsi="Times New Roman" w:cs="Times New Roman"/>
          <w:color w:val="auto"/>
          <w:spacing w:val="-3"/>
          <w:sz w:val="22"/>
          <w:szCs w:val="22"/>
          <w:lang w:val="es-ES_tradnl" w:eastAsia="es-ES_tradnl"/>
        </w:rPr>
        <w:t>.</w:t>
      </w:r>
    </w:p>
    <w:p w:rsidR="005C4F30" w:rsidRDefault="005C4F30"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rsidR="005C4F30" w:rsidRPr="009E7FDA" w:rsidRDefault="005C4F30"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rsidR="009E7FDA" w:rsidRPr="009E7FDA" w:rsidRDefault="0076239A" w:rsidP="009E7FDA">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r>
        <w:rPr>
          <w:rFonts w:ascii="Times New Roman" w:hAnsi="Times New Roman" w:cs="Times New Roman"/>
          <w:b/>
          <w:bCs/>
          <w:spacing w:val="-2"/>
          <w:sz w:val="22"/>
          <w:szCs w:val="22"/>
          <w:lang w:val="es-ES_tradnl" w:eastAsia="es-ES_tradnl"/>
        </w:rPr>
        <w:t>14</w:t>
      </w:r>
      <w:r w:rsidR="009E7FDA" w:rsidRPr="009E7FDA">
        <w:rPr>
          <w:rFonts w:ascii="Times New Roman" w:hAnsi="Times New Roman" w:cs="Times New Roman"/>
          <w:b/>
          <w:bCs/>
          <w:spacing w:val="-2"/>
          <w:sz w:val="22"/>
          <w:szCs w:val="22"/>
          <w:lang w:val="es-ES_tradnl" w:eastAsia="es-ES_tradnl"/>
        </w:rPr>
        <w:t xml:space="preserve">. </w:t>
      </w:r>
      <w:r w:rsidR="009E7FDA" w:rsidRPr="009E7FDA">
        <w:rPr>
          <w:rFonts w:ascii="Times New Roman" w:hAnsi="Times New Roman" w:cs="Times New Roman"/>
          <w:b/>
          <w:bCs/>
          <w:spacing w:val="-2"/>
          <w:sz w:val="22"/>
          <w:szCs w:val="22"/>
          <w:u w:val="double"/>
          <w:lang w:val="es-ES_tradnl" w:eastAsia="es-ES_tradnl"/>
        </w:rPr>
        <w:t>INFORMACION MEDIO AMBIENTAL</w:t>
      </w:r>
    </w:p>
    <w:p w:rsidR="009E7FDA" w:rsidRPr="009E7FDA"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rsidR="009E7FDA" w:rsidRPr="009E7FDA" w:rsidRDefault="009E7FDA" w:rsidP="009E7FDA">
      <w:pPr>
        <w:pStyle w:val="Default"/>
        <w:ind w:left="709"/>
        <w:jc w:val="both"/>
        <w:rPr>
          <w:rFonts w:ascii="Times New Roman" w:hAnsi="Times New Roman" w:cs="Times New Roman"/>
          <w:color w:val="auto"/>
          <w:spacing w:val="-3"/>
          <w:sz w:val="22"/>
          <w:szCs w:val="22"/>
          <w:lang w:val="es-ES_tradnl" w:eastAsia="es-ES_tradnl"/>
        </w:rPr>
      </w:pPr>
      <w:r w:rsidRPr="009E7FDA">
        <w:rPr>
          <w:rFonts w:ascii="Times New Roman" w:hAnsi="Times New Roman" w:cs="Times New Roman"/>
          <w:color w:val="auto"/>
          <w:spacing w:val="-3"/>
          <w:sz w:val="22"/>
          <w:szCs w:val="22"/>
          <w:lang w:val="es-ES_tradnl" w:eastAsia="es-ES_tradnl"/>
        </w:rPr>
        <w:t>Dada la actividad a la que se dedica la sociedad, la misma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w:t>
      </w:r>
    </w:p>
    <w:p w:rsidR="007279D5" w:rsidRDefault="007279D5"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3CB4" w:rsidRDefault="006C3CB4" w:rsidP="00F8206D">
      <w:pPr>
        <w:shd w:val="clear" w:color="auto" w:fill="FFFFFF"/>
        <w:ind w:left="709"/>
        <w:jc w:val="both"/>
        <w:rPr>
          <w:rFonts w:ascii="Times New Roman" w:hAnsi="Times New Roman" w:cs="Times New Roman"/>
          <w:color w:val="0000FF"/>
          <w:spacing w:val="-4"/>
          <w:sz w:val="22"/>
          <w:szCs w:val="22"/>
          <w:lang w:eastAsia="es-ES_tradnl"/>
        </w:rPr>
      </w:pPr>
    </w:p>
    <w:p w:rsidR="006C0067" w:rsidRDefault="006C0067" w:rsidP="006C0067">
      <w:pPr>
        <w:shd w:val="clear" w:color="auto" w:fill="FFFFFF"/>
        <w:spacing w:before="335"/>
        <w:ind w:left="2880" w:right="155" w:firstLine="720"/>
        <w:rPr>
          <w:rFonts w:ascii="Times New Roman" w:hAnsi="Times New Roman" w:cs="Times New Roman"/>
          <w:sz w:val="22"/>
          <w:szCs w:val="22"/>
          <w:lang w:val="es-ES_tradnl" w:eastAsia="es-ES_tradnl"/>
        </w:rPr>
      </w:pPr>
      <w:r w:rsidRPr="00042D9E">
        <w:rPr>
          <w:rFonts w:ascii="Times New Roman" w:hAnsi="Times New Roman" w:cs="Times New Roman"/>
          <w:sz w:val="22"/>
          <w:szCs w:val="22"/>
          <w:lang w:val="es-ES_tradnl" w:eastAsia="es-ES_tradnl"/>
        </w:rPr>
        <w:t xml:space="preserve">En Las Palmas de Gran Canaria, a </w:t>
      </w:r>
      <w:r w:rsidR="008E70B3">
        <w:rPr>
          <w:rFonts w:ascii="Times New Roman" w:hAnsi="Times New Roman" w:cs="Times New Roman"/>
          <w:sz w:val="22"/>
          <w:szCs w:val="22"/>
          <w:lang w:val="es-ES_tradnl" w:eastAsia="es-ES_tradnl"/>
        </w:rPr>
        <w:t>07</w:t>
      </w:r>
      <w:r w:rsidRPr="00042D9E">
        <w:rPr>
          <w:rFonts w:ascii="Times New Roman" w:hAnsi="Times New Roman" w:cs="Times New Roman"/>
          <w:sz w:val="22"/>
          <w:szCs w:val="22"/>
          <w:lang w:val="es-ES_tradnl" w:eastAsia="es-ES_tradnl"/>
        </w:rPr>
        <w:t xml:space="preserve"> </w:t>
      </w:r>
      <w:r w:rsidR="008E70B3">
        <w:rPr>
          <w:rFonts w:ascii="Times New Roman" w:hAnsi="Times New Roman" w:cs="Times New Roman"/>
          <w:sz w:val="22"/>
          <w:szCs w:val="22"/>
          <w:lang w:val="es-ES_tradnl" w:eastAsia="es-ES_tradnl"/>
        </w:rPr>
        <w:t>de abril</w:t>
      </w:r>
      <w:r w:rsidR="001B068B" w:rsidRPr="00042D9E">
        <w:rPr>
          <w:rFonts w:ascii="Times New Roman" w:hAnsi="Times New Roman" w:cs="Times New Roman"/>
          <w:sz w:val="22"/>
          <w:szCs w:val="22"/>
          <w:lang w:val="es-ES_tradnl" w:eastAsia="es-ES_tradnl"/>
        </w:rPr>
        <w:t xml:space="preserve"> de </w:t>
      </w:r>
      <w:r w:rsidR="00ED3C8D" w:rsidRPr="00042D9E">
        <w:rPr>
          <w:rFonts w:ascii="Times New Roman" w:hAnsi="Times New Roman" w:cs="Times New Roman"/>
          <w:sz w:val="22"/>
          <w:szCs w:val="22"/>
          <w:lang w:val="es-ES_tradnl" w:eastAsia="es-ES_tradnl"/>
        </w:rPr>
        <w:t>2021</w:t>
      </w:r>
      <w:r w:rsidR="00814FE2" w:rsidRPr="00042D9E">
        <w:rPr>
          <w:rFonts w:ascii="Times New Roman" w:hAnsi="Times New Roman" w:cs="Times New Roman"/>
          <w:sz w:val="22"/>
          <w:szCs w:val="22"/>
          <w:lang w:val="es-ES_tradnl" w:eastAsia="es-ES_tradnl"/>
        </w:rPr>
        <w:t>.</w:t>
      </w:r>
    </w:p>
    <w:p w:rsidR="001423EC" w:rsidRPr="008E70B3" w:rsidRDefault="001423EC" w:rsidP="006C0067">
      <w:pPr>
        <w:shd w:val="clear" w:color="auto" w:fill="FFFFFF"/>
        <w:spacing w:before="335"/>
        <w:ind w:left="2880" w:right="155" w:firstLine="720"/>
        <w:rPr>
          <w:rFonts w:ascii="Times New Roman" w:hAnsi="Times New Roman" w:cs="Times New Roman"/>
          <w:sz w:val="22"/>
          <w:szCs w:val="22"/>
          <w:lang w:val="es-ES_tradnl" w:eastAsia="es-ES_tradnl"/>
        </w:rPr>
      </w:pPr>
    </w:p>
    <w:p w:rsidR="006C0067" w:rsidRPr="008E70B3" w:rsidRDefault="006C0067" w:rsidP="006C0067">
      <w:pPr>
        <w:shd w:val="clear" w:color="auto" w:fill="FFFFFF"/>
        <w:spacing w:before="335"/>
        <w:ind w:left="1260" w:right="155" w:firstLine="720"/>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Consejo de Administración</w:t>
      </w:r>
    </w:p>
    <w:tbl>
      <w:tblPr>
        <w:tblW w:w="9051" w:type="dxa"/>
        <w:tblInd w:w="1260" w:type="dxa"/>
        <w:tblLook w:val="04A0"/>
      </w:tblPr>
      <w:tblGrid>
        <w:gridCol w:w="3017"/>
        <w:gridCol w:w="3017"/>
        <w:gridCol w:w="3017"/>
      </w:tblGrid>
      <w:tr w:rsidR="006C0067" w:rsidRPr="008E70B3" w:rsidTr="00975330">
        <w:trPr>
          <w:trHeight w:val="1937"/>
        </w:trPr>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Presidenta</w:t>
            </w:r>
          </w:p>
          <w:p w:rsidR="006C0067" w:rsidRPr="008E70B3" w:rsidRDefault="005C1312" w:rsidP="005C1312">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Dña. Encarnación Galván González</w:t>
            </w:r>
          </w:p>
        </w:tc>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AE67E1" w:rsidRPr="008E70B3" w:rsidRDefault="00AE67E1"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Consejero</w:t>
            </w: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Dña. Inmaculada Medina Montenegro</w:t>
            </w:r>
          </w:p>
        </w:tc>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Consejero</w:t>
            </w:r>
          </w:p>
          <w:p w:rsidR="006C0067" w:rsidRPr="008E70B3" w:rsidRDefault="00D85FDA" w:rsidP="005C1312">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D</w:t>
            </w:r>
            <w:r w:rsidR="006C0067" w:rsidRPr="008E70B3">
              <w:rPr>
                <w:rFonts w:ascii="Times New Roman" w:hAnsi="Times New Roman" w:cs="Times New Roman"/>
                <w:sz w:val="22"/>
                <w:szCs w:val="22"/>
                <w:lang w:val="es-ES_tradnl" w:eastAsia="es-ES_tradnl"/>
              </w:rPr>
              <w:t xml:space="preserve">. </w:t>
            </w:r>
            <w:r w:rsidRPr="008E70B3">
              <w:rPr>
                <w:rFonts w:ascii="Times New Roman" w:hAnsi="Times New Roman" w:cs="Times New Roman"/>
                <w:sz w:val="22"/>
                <w:szCs w:val="22"/>
                <w:lang w:val="es-ES_tradnl" w:eastAsia="es-ES_tradnl"/>
              </w:rPr>
              <w:t>Pedro Quevedo Iturbe</w:t>
            </w:r>
          </w:p>
        </w:tc>
      </w:tr>
      <w:tr w:rsidR="006C0067" w:rsidRPr="008E70B3" w:rsidTr="00975330">
        <w:trPr>
          <w:trHeight w:val="2200"/>
        </w:trPr>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Consejero</w:t>
            </w:r>
          </w:p>
          <w:p w:rsidR="006C0067" w:rsidRPr="008E70B3" w:rsidRDefault="00635FED" w:rsidP="00D85FDA">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 xml:space="preserve">D. </w:t>
            </w:r>
            <w:r w:rsidR="00D85FDA" w:rsidRPr="008E70B3">
              <w:rPr>
                <w:rFonts w:ascii="Times New Roman" w:hAnsi="Times New Roman" w:cs="Times New Roman"/>
                <w:sz w:val="22"/>
                <w:szCs w:val="22"/>
                <w:lang w:val="es-ES_tradnl" w:eastAsia="es-ES_tradnl"/>
              </w:rPr>
              <w:t xml:space="preserve">Juan José Laforet Hernández </w:t>
            </w:r>
          </w:p>
        </w:tc>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Consejero</w:t>
            </w:r>
          </w:p>
          <w:p w:rsidR="006C0067" w:rsidRPr="008E70B3" w:rsidRDefault="004308BD" w:rsidP="004308B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Dña. Mª Ro</w:t>
            </w:r>
            <w:r w:rsidR="00CE22E0" w:rsidRPr="008E70B3">
              <w:rPr>
                <w:rFonts w:ascii="Times New Roman" w:hAnsi="Times New Roman" w:cs="Times New Roman"/>
                <w:sz w:val="22"/>
                <w:szCs w:val="22"/>
                <w:lang w:val="es-ES_tradnl" w:eastAsia="es-ES_tradnl"/>
              </w:rPr>
              <w:t xml:space="preserve">sario León </w:t>
            </w:r>
            <w:r w:rsidR="00241E8C" w:rsidRPr="008E70B3">
              <w:rPr>
                <w:rFonts w:ascii="Times New Roman" w:hAnsi="Times New Roman" w:cs="Times New Roman"/>
                <w:sz w:val="22"/>
                <w:szCs w:val="22"/>
                <w:lang w:val="es-ES_tradnl" w:eastAsia="es-ES_tradnl"/>
              </w:rPr>
              <w:t>Socorro</w:t>
            </w:r>
          </w:p>
        </w:tc>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p>
          <w:p w:rsidR="00635FED" w:rsidRPr="008E70B3" w:rsidRDefault="00635FED" w:rsidP="00724E75">
            <w:pPr>
              <w:ind w:right="153"/>
              <w:jc w:val="center"/>
              <w:rPr>
                <w:rFonts w:ascii="Times New Roman" w:hAnsi="Times New Roman" w:cs="Times New Roman"/>
                <w:sz w:val="22"/>
                <w:szCs w:val="22"/>
                <w:lang w:val="es-ES_tradnl" w:eastAsia="es-ES_tradnl"/>
              </w:rPr>
            </w:pP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Consejero</w:t>
            </w:r>
          </w:p>
          <w:p w:rsidR="006C0067" w:rsidRPr="008E70B3" w:rsidRDefault="006C0067" w:rsidP="00724E75">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 xml:space="preserve">D. Manuel Tomás </w:t>
            </w:r>
            <w:proofErr w:type="spellStart"/>
            <w:r w:rsidRPr="008E70B3">
              <w:rPr>
                <w:rFonts w:ascii="Times New Roman" w:hAnsi="Times New Roman" w:cs="Times New Roman"/>
                <w:sz w:val="22"/>
                <w:szCs w:val="22"/>
                <w:lang w:val="es-ES_tradnl" w:eastAsia="es-ES_tradnl"/>
              </w:rPr>
              <w:t>Magraner</w:t>
            </w:r>
            <w:proofErr w:type="spellEnd"/>
            <w:r w:rsidRPr="008E70B3">
              <w:rPr>
                <w:rFonts w:ascii="Times New Roman" w:hAnsi="Times New Roman" w:cs="Times New Roman"/>
                <w:sz w:val="22"/>
                <w:szCs w:val="22"/>
                <w:lang w:val="es-ES_tradnl" w:eastAsia="es-ES_tradnl"/>
              </w:rPr>
              <w:t xml:space="preserve"> </w:t>
            </w:r>
          </w:p>
        </w:tc>
      </w:tr>
      <w:tr w:rsidR="006C0067" w:rsidRPr="008E70B3" w:rsidTr="00975330">
        <w:trPr>
          <w:trHeight w:val="1698"/>
        </w:trPr>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Consejero</w:t>
            </w:r>
          </w:p>
          <w:p w:rsidR="006C0067" w:rsidRPr="008E70B3" w:rsidRDefault="00635FED" w:rsidP="00CE22E0">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 xml:space="preserve">Dña. </w:t>
            </w:r>
            <w:r w:rsidR="00CE22E0" w:rsidRPr="008E70B3">
              <w:rPr>
                <w:rFonts w:ascii="Times New Roman" w:hAnsi="Times New Roman" w:cs="Times New Roman"/>
                <w:sz w:val="22"/>
                <w:szCs w:val="22"/>
                <w:lang w:val="es-ES_tradnl" w:eastAsia="es-ES_tradnl"/>
              </w:rPr>
              <w:t>Natalia Me</w:t>
            </w:r>
            <w:r w:rsidR="00241E8C" w:rsidRPr="008E70B3">
              <w:rPr>
                <w:rFonts w:ascii="Times New Roman" w:hAnsi="Times New Roman" w:cs="Times New Roman"/>
                <w:sz w:val="22"/>
                <w:szCs w:val="22"/>
                <w:lang w:val="es-ES_tradnl" w:eastAsia="es-ES_tradnl"/>
              </w:rPr>
              <w:t>dina Santana</w:t>
            </w:r>
            <w:r w:rsidR="006C0067" w:rsidRPr="008E70B3">
              <w:rPr>
                <w:rFonts w:ascii="Times New Roman" w:hAnsi="Times New Roman" w:cs="Times New Roman"/>
                <w:sz w:val="22"/>
                <w:szCs w:val="22"/>
                <w:lang w:val="es-ES_tradnl" w:eastAsia="es-ES_tradnl"/>
              </w:rPr>
              <w:t xml:space="preserve"> </w:t>
            </w:r>
          </w:p>
        </w:tc>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________________________</w:t>
            </w:r>
          </w:p>
          <w:p w:rsidR="00635FED"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Secretaria</w:t>
            </w:r>
            <w:r w:rsidR="007279D5" w:rsidRPr="008E70B3">
              <w:rPr>
                <w:rFonts w:ascii="Times New Roman" w:hAnsi="Times New Roman" w:cs="Times New Roman"/>
                <w:sz w:val="22"/>
                <w:szCs w:val="22"/>
                <w:lang w:val="es-ES_tradnl" w:eastAsia="es-ES_tradnl"/>
              </w:rPr>
              <w:t xml:space="preserve"> No Consejera</w:t>
            </w:r>
          </w:p>
          <w:p w:rsidR="006C0067" w:rsidRPr="008E70B3" w:rsidRDefault="00635FED" w:rsidP="00635FED">
            <w:pPr>
              <w:ind w:right="153"/>
              <w:jc w:val="center"/>
              <w:rPr>
                <w:rFonts w:ascii="Times New Roman" w:hAnsi="Times New Roman" w:cs="Times New Roman"/>
                <w:sz w:val="22"/>
                <w:szCs w:val="22"/>
                <w:lang w:val="es-ES_tradnl" w:eastAsia="es-ES_tradnl"/>
              </w:rPr>
            </w:pPr>
            <w:r w:rsidRPr="008E70B3">
              <w:rPr>
                <w:rFonts w:ascii="Times New Roman" w:hAnsi="Times New Roman" w:cs="Times New Roman"/>
                <w:sz w:val="22"/>
                <w:szCs w:val="22"/>
                <w:lang w:val="es-ES_tradnl" w:eastAsia="es-ES_tradnl"/>
              </w:rPr>
              <w:t>Dña. María José Caballero González</w:t>
            </w:r>
            <w:r w:rsidR="006C0067" w:rsidRPr="008E70B3">
              <w:rPr>
                <w:rFonts w:ascii="Times New Roman" w:hAnsi="Times New Roman" w:cs="Times New Roman"/>
                <w:sz w:val="22"/>
                <w:szCs w:val="22"/>
                <w:lang w:val="es-ES_tradnl" w:eastAsia="es-ES_tradnl"/>
              </w:rPr>
              <w:t xml:space="preserve"> </w:t>
            </w:r>
          </w:p>
        </w:tc>
        <w:tc>
          <w:tcPr>
            <w:tcW w:w="3017" w:type="dxa"/>
          </w:tcPr>
          <w:p w:rsidR="006C0067" w:rsidRPr="008E70B3" w:rsidRDefault="006C0067" w:rsidP="00724E75">
            <w:pPr>
              <w:ind w:right="153"/>
              <w:jc w:val="center"/>
              <w:rPr>
                <w:rFonts w:ascii="Times New Roman" w:hAnsi="Times New Roman" w:cs="Times New Roman"/>
                <w:sz w:val="22"/>
                <w:szCs w:val="22"/>
                <w:lang w:val="es-ES_tradnl" w:eastAsia="es-ES_tradnl"/>
              </w:rPr>
            </w:pPr>
          </w:p>
        </w:tc>
      </w:tr>
    </w:tbl>
    <w:p w:rsidR="006C0067" w:rsidRPr="008E70B3" w:rsidRDefault="006C0067" w:rsidP="006C0067">
      <w:pPr>
        <w:spacing w:after="209" w:line="1" w:lineRule="exact"/>
        <w:jc w:val="both"/>
        <w:rPr>
          <w:rFonts w:ascii="Times New Roman" w:hAnsi="Times New Roman" w:cs="Times New Roman"/>
          <w:sz w:val="22"/>
          <w:szCs w:val="22"/>
        </w:rPr>
      </w:pPr>
    </w:p>
    <w:sectPr w:rsidR="006C0067" w:rsidRPr="008E70B3" w:rsidSect="002629A8">
      <w:footerReference w:type="default" r:id="rId10"/>
      <w:pgSz w:w="11907" w:h="16840"/>
      <w:pgMar w:top="993" w:right="1418" w:bottom="1276" w:left="567"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A6A" w:rsidRDefault="00EF2A6A" w:rsidP="006C0067">
      <w:r>
        <w:separator/>
      </w:r>
    </w:p>
  </w:endnote>
  <w:endnote w:type="continuationSeparator" w:id="0">
    <w:p w:rsidR="00EF2A6A" w:rsidRDefault="00EF2A6A" w:rsidP="006C0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6A" w:rsidRPr="002A2F19" w:rsidRDefault="008C5A69" w:rsidP="002A2F19">
    <w:pPr>
      <w:pStyle w:val="Piedepgina"/>
      <w:rPr>
        <w:sz w:val="14"/>
        <w:szCs w:val="14"/>
      </w:rPr>
    </w:pPr>
    <w:r>
      <w:rPr>
        <w:noProof/>
        <w:sz w:val="14"/>
        <w:szCs w:val="14"/>
      </w:rPr>
      <w:pict>
        <v:shapetype id="_x0000_t32" coordsize="21600,21600" o:spt="32" o:oned="t" path="m,l21600,21600e" filled="f">
          <v:path arrowok="t" fillok="f" o:connecttype="none"/>
          <o:lock v:ext="edit" shapetype="t"/>
        </v:shapetype>
        <v:shape id="_x0000_s2050" type="#_x0000_t32" style="position:absolute;margin-left:.45pt;margin-top:5.9pt;width:496.5pt;height:0;z-index:251657728" o:connectortype="straight"/>
      </w:pict>
    </w:r>
  </w:p>
  <w:p w:rsidR="00EF2A6A" w:rsidRPr="002A2F19" w:rsidRDefault="00EF2A6A" w:rsidP="002A2F19">
    <w:pPr>
      <w:pStyle w:val="Piedepgina"/>
      <w:rPr>
        <w:sz w:val="14"/>
        <w:szCs w:val="14"/>
      </w:rPr>
    </w:pPr>
  </w:p>
  <w:p w:rsidR="00EF2A6A" w:rsidRPr="00880882" w:rsidRDefault="00EF2A6A" w:rsidP="002A2F19">
    <w:pPr>
      <w:pStyle w:val="Piedepgina"/>
      <w:rPr>
        <w:b/>
        <w:sz w:val="14"/>
        <w:szCs w:val="14"/>
      </w:rPr>
    </w:pPr>
    <w:r>
      <w:rPr>
        <w:b/>
        <w:sz w:val="14"/>
        <w:szCs w:val="14"/>
      </w:rPr>
      <w:t>PROMOCIÓ</w:t>
    </w:r>
    <w:r w:rsidRPr="00880882">
      <w:rPr>
        <w:b/>
        <w:sz w:val="14"/>
        <w:szCs w:val="14"/>
      </w:rPr>
      <w:t>N DE LA CIUDAD</w:t>
    </w:r>
  </w:p>
  <w:p w:rsidR="00EF2A6A" w:rsidRPr="00880882" w:rsidRDefault="00EF2A6A" w:rsidP="002A2F19">
    <w:pPr>
      <w:pStyle w:val="Piedepgina"/>
      <w:tabs>
        <w:tab w:val="clear" w:pos="8504"/>
        <w:tab w:val="right" w:pos="9781"/>
      </w:tabs>
      <w:rPr>
        <w:b/>
        <w:sz w:val="14"/>
        <w:szCs w:val="14"/>
      </w:rPr>
    </w:pPr>
    <w:r w:rsidRPr="00880882">
      <w:rPr>
        <w:b/>
        <w:sz w:val="14"/>
        <w:szCs w:val="14"/>
      </w:rPr>
      <w:t xml:space="preserve">DE LAS PALMAS DE GRAN CANARIA, S.A.    </w:t>
    </w:r>
    <w:r w:rsidRPr="00880882">
      <w:rPr>
        <w:b/>
        <w:sz w:val="14"/>
        <w:szCs w:val="14"/>
      </w:rPr>
      <w:tab/>
      <w:t xml:space="preserve">                                          </w:t>
    </w:r>
    <w:r>
      <w:rPr>
        <w:b/>
        <w:sz w:val="14"/>
        <w:szCs w:val="14"/>
      </w:rPr>
      <w:t xml:space="preserve">       </w:t>
    </w:r>
    <w:r w:rsidRPr="00880882">
      <w:rPr>
        <w:b/>
        <w:sz w:val="14"/>
        <w:szCs w:val="14"/>
      </w:rPr>
      <w:t>MEMORIA 20</w:t>
    </w:r>
    <w:r>
      <w:rPr>
        <w:b/>
        <w:sz w:val="14"/>
        <w:szCs w:val="14"/>
      </w:rPr>
      <w:t>20</w:t>
    </w:r>
    <w:r w:rsidRPr="00880882">
      <w:rPr>
        <w:b/>
        <w:sz w:val="14"/>
        <w:szCs w:val="14"/>
      </w:rPr>
      <w:t xml:space="preserve">     </w:t>
    </w:r>
    <w:r w:rsidRPr="00880882">
      <w:rPr>
        <w:b/>
        <w:sz w:val="14"/>
        <w:szCs w:val="14"/>
      </w:rPr>
      <w:tab/>
      <w:t xml:space="preserve">Pág. </w:t>
    </w:r>
    <w:r w:rsidR="008C5A69" w:rsidRPr="00880882">
      <w:rPr>
        <w:b/>
        <w:sz w:val="14"/>
        <w:szCs w:val="14"/>
      </w:rPr>
      <w:fldChar w:fldCharType="begin"/>
    </w:r>
    <w:r w:rsidRPr="00880882">
      <w:rPr>
        <w:b/>
        <w:sz w:val="14"/>
        <w:szCs w:val="14"/>
      </w:rPr>
      <w:instrText>PAGE</w:instrText>
    </w:r>
    <w:r w:rsidR="008C5A69" w:rsidRPr="00880882">
      <w:rPr>
        <w:b/>
        <w:sz w:val="14"/>
        <w:szCs w:val="14"/>
      </w:rPr>
      <w:fldChar w:fldCharType="separate"/>
    </w:r>
    <w:r w:rsidR="00115E1C">
      <w:rPr>
        <w:b/>
        <w:noProof/>
        <w:sz w:val="14"/>
        <w:szCs w:val="14"/>
      </w:rPr>
      <w:t>24</w:t>
    </w:r>
    <w:r w:rsidR="008C5A69" w:rsidRPr="00880882">
      <w:rPr>
        <w:b/>
        <w:sz w:val="14"/>
        <w:szCs w:val="14"/>
      </w:rPr>
      <w:fldChar w:fldCharType="end"/>
    </w:r>
  </w:p>
  <w:p w:rsidR="00EF2A6A" w:rsidRDefault="00EF2A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A6A" w:rsidRDefault="00EF2A6A" w:rsidP="006C0067">
      <w:r>
        <w:separator/>
      </w:r>
    </w:p>
  </w:footnote>
  <w:footnote w:type="continuationSeparator" w:id="0">
    <w:p w:rsidR="00EF2A6A" w:rsidRDefault="00EF2A6A" w:rsidP="006C0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3E3880"/>
    <w:lvl w:ilvl="0">
      <w:numFmt w:val="bullet"/>
      <w:lvlText w:val="*"/>
      <w:lvlJc w:val="left"/>
    </w:lvl>
  </w:abstractNum>
  <w:abstractNum w:abstractNumId="1">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4">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5">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35D86753"/>
    <w:multiLevelType w:val="hybridMultilevel"/>
    <w:tmpl w:val="3D542F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1">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2">
    <w:nsid w:val="6D8D17B5"/>
    <w:multiLevelType w:val="hybridMultilevel"/>
    <w:tmpl w:val="65F60742"/>
    <w:lvl w:ilvl="0" w:tplc="B8646BA0">
      <w:start w:val="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5">
    <w:abstractNumId w:val="11"/>
  </w:num>
  <w:num w:numId="6">
    <w:abstractNumId w:val="9"/>
  </w:num>
  <w:num w:numId="7">
    <w:abstractNumId w:val="7"/>
  </w:num>
  <w:num w:numId="8">
    <w:abstractNumId w:val="13"/>
  </w:num>
  <w:num w:numId="9">
    <w:abstractNumId w:val="3"/>
  </w:num>
  <w:num w:numId="10">
    <w:abstractNumId w:val="8"/>
  </w:num>
  <w:num w:numId="11">
    <w:abstractNumId w:val="1"/>
  </w:num>
  <w:num w:numId="12">
    <w:abstractNumId w:val="2"/>
  </w:num>
  <w:num w:numId="13">
    <w:abstractNumId w:val="5"/>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rsids>
    <w:rsidRoot w:val="006C0067"/>
    <w:rsid w:val="000016F8"/>
    <w:rsid w:val="00001F34"/>
    <w:rsid w:val="00002A52"/>
    <w:rsid w:val="00013142"/>
    <w:rsid w:val="00015461"/>
    <w:rsid w:val="00032BB1"/>
    <w:rsid w:val="00032CF7"/>
    <w:rsid w:val="00033CAF"/>
    <w:rsid w:val="000356C7"/>
    <w:rsid w:val="00036651"/>
    <w:rsid w:val="00042482"/>
    <w:rsid w:val="00042D9E"/>
    <w:rsid w:val="00043076"/>
    <w:rsid w:val="000448D3"/>
    <w:rsid w:val="000462FC"/>
    <w:rsid w:val="000473E2"/>
    <w:rsid w:val="00047975"/>
    <w:rsid w:val="0005456C"/>
    <w:rsid w:val="00056B5A"/>
    <w:rsid w:val="000576A2"/>
    <w:rsid w:val="000624AE"/>
    <w:rsid w:val="00064349"/>
    <w:rsid w:val="00067C4C"/>
    <w:rsid w:val="0007387A"/>
    <w:rsid w:val="00095E5F"/>
    <w:rsid w:val="0009699F"/>
    <w:rsid w:val="000A288E"/>
    <w:rsid w:val="000A2E24"/>
    <w:rsid w:val="000A31D5"/>
    <w:rsid w:val="000A6386"/>
    <w:rsid w:val="000B03AD"/>
    <w:rsid w:val="000B09E2"/>
    <w:rsid w:val="000B3089"/>
    <w:rsid w:val="000B3A42"/>
    <w:rsid w:val="000B5AF8"/>
    <w:rsid w:val="000C1B88"/>
    <w:rsid w:val="000D187D"/>
    <w:rsid w:val="000E01BB"/>
    <w:rsid w:val="000E24D4"/>
    <w:rsid w:val="000E3B23"/>
    <w:rsid w:val="000E49EA"/>
    <w:rsid w:val="000E4C45"/>
    <w:rsid w:val="000E516B"/>
    <w:rsid w:val="000F535E"/>
    <w:rsid w:val="00102CDD"/>
    <w:rsid w:val="00103512"/>
    <w:rsid w:val="00110A98"/>
    <w:rsid w:val="00111B3F"/>
    <w:rsid w:val="00111DE7"/>
    <w:rsid w:val="00112A04"/>
    <w:rsid w:val="001142DA"/>
    <w:rsid w:val="00114BA3"/>
    <w:rsid w:val="00115E1C"/>
    <w:rsid w:val="00116EFB"/>
    <w:rsid w:val="001231BF"/>
    <w:rsid w:val="00123FDF"/>
    <w:rsid w:val="0012567B"/>
    <w:rsid w:val="00126BEC"/>
    <w:rsid w:val="001355BC"/>
    <w:rsid w:val="00137AFD"/>
    <w:rsid w:val="00137FCE"/>
    <w:rsid w:val="001410C8"/>
    <w:rsid w:val="001423EC"/>
    <w:rsid w:val="0014391A"/>
    <w:rsid w:val="00151269"/>
    <w:rsid w:val="00153100"/>
    <w:rsid w:val="00161982"/>
    <w:rsid w:val="00167490"/>
    <w:rsid w:val="00176952"/>
    <w:rsid w:val="00193064"/>
    <w:rsid w:val="00196091"/>
    <w:rsid w:val="0019698B"/>
    <w:rsid w:val="001A6B48"/>
    <w:rsid w:val="001A7DD6"/>
    <w:rsid w:val="001B068B"/>
    <w:rsid w:val="001B37C5"/>
    <w:rsid w:val="001B4892"/>
    <w:rsid w:val="001B605D"/>
    <w:rsid w:val="001C1DA7"/>
    <w:rsid w:val="001D2E73"/>
    <w:rsid w:val="001D62AA"/>
    <w:rsid w:val="001E2174"/>
    <w:rsid w:val="001F0496"/>
    <w:rsid w:val="001F1133"/>
    <w:rsid w:val="001F2C56"/>
    <w:rsid w:val="001F5027"/>
    <w:rsid w:val="001F6884"/>
    <w:rsid w:val="002013A7"/>
    <w:rsid w:val="002023FC"/>
    <w:rsid w:val="00202610"/>
    <w:rsid w:val="002042F8"/>
    <w:rsid w:val="00205A13"/>
    <w:rsid w:val="00206087"/>
    <w:rsid w:val="00207DAB"/>
    <w:rsid w:val="0021112A"/>
    <w:rsid w:val="002118EC"/>
    <w:rsid w:val="00216026"/>
    <w:rsid w:val="0021652D"/>
    <w:rsid w:val="00224FAC"/>
    <w:rsid w:val="00232A3C"/>
    <w:rsid w:val="00232E74"/>
    <w:rsid w:val="00236CFC"/>
    <w:rsid w:val="00240735"/>
    <w:rsid w:val="00241E8C"/>
    <w:rsid w:val="00241F4C"/>
    <w:rsid w:val="0024650E"/>
    <w:rsid w:val="002467DA"/>
    <w:rsid w:val="00250407"/>
    <w:rsid w:val="00250975"/>
    <w:rsid w:val="002523DB"/>
    <w:rsid w:val="002545FD"/>
    <w:rsid w:val="002564E9"/>
    <w:rsid w:val="002570B8"/>
    <w:rsid w:val="0026054E"/>
    <w:rsid w:val="002629A8"/>
    <w:rsid w:val="00263757"/>
    <w:rsid w:val="002653E0"/>
    <w:rsid w:val="00274C61"/>
    <w:rsid w:val="00275D08"/>
    <w:rsid w:val="002761C7"/>
    <w:rsid w:val="00277905"/>
    <w:rsid w:val="00284FFF"/>
    <w:rsid w:val="0028650E"/>
    <w:rsid w:val="00290D30"/>
    <w:rsid w:val="002929A9"/>
    <w:rsid w:val="002A2B8B"/>
    <w:rsid w:val="002A2F19"/>
    <w:rsid w:val="002A3E94"/>
    <w:rsid w:val="002B19E3"/>
    <w:rsid w:val="002B2BFA"/>
    <w:rsid w:val="002B2CB2"/>
    <w:rsid w:val="002B46F7"/>
    <w:rsid w:val="002B5F65"/>
    <w:rsid w:val="002C128D"/>
    <w:rsid w:val="002C5B40"/>
    <w:rsid w:val="002E39EC"/>
    <w:rsid w:val="002F3352"/>
    <w:rsid w:val="002F6189"/>
    <w:rsid w:val="002F69BB"/>
    <w:rsid w:val="00301348"/>
    <w:rsid w:val="0030255E"/>
    <w:rsid w:val="00310C95"/>
    <w:rsid w:val="00312C98"/>
    <w:rsid w:val="00312D72"/>
    <w:rsid w:val="00316862"/>
    <w:rsid w:val="00321047"/>
    <w:rsid w:val="00327111"/>
    <w:rsid w:val="0033180B"/>
    <w:rsid w:val="00336355"/>
    <w:rsid w:val="0035124C"/>
    <w:rsid w:val="0035172E"/>
    <w:rsid w:val="00353B4C"/>
    <w:rsid w:val="00353F13"/>
    <w:rsid w:val="00355336"/>
    <w:rsid w:val="0035698F"/>
    <w:rsid w:val="00361FFA"/>
    <w:rsid w:val="00374D0F"/>
    <w:rsid w:val="00376352"/>
    <w:rsid w:val="003813D5"/>
    <w:rsid w:val="00382E6B"/>
    <w:rsid w:val="003851F2"/>
    <w:rsid w:val="00387BFF"/>
    <w:rsid w:val="003932A5"/>
    <w:rsid w:val="003A1F5C"/>
    <w:rsid w:val="003A25E8"/>
    <w:rsid w:val="003A4040"/>
    <w:rsid w:val="003A4ABD"/>
    <w:rsid w:val="003A53FB"/>
    <w:rsid w:val="003B1B64"/>
    <w:rsid w:val="003B323C"/>
    <w:rsid w:val="003B6D45"/>
    <w:rsid w:val="003B7851"/>
    <w:rsid w:val="003C42AC"/>
    <w:rsid w:val="003C5DE5"/>
    <w:rsid w:val="003D5B26"/>
    <w:rsid w:val="003D5D21"/>
    <w:rsid w:val="003D5FAA"/>
    <w:rsid w:val="003E638A"/>
    <w:rsid w:val="003E7E93"/>
    <w:rsid w:val="003F03D8"/>
    <w:rsid w:val="003F3F38"/>
    <w:rsid w:val="00400D00"/>
    <w:rsid w:val="00406375"/>
    <w:rsid w:val="00414916"/>
    <w:rsid w:val="00423CBF"/>
    <w:rsid w:val="00423FB4"/>
    <w:rsid w:val="004308BD"/>
    <w:rsid w:val="00437A73"/>
    <w:rsid w:val="00444288"/>
    <w:rsid w:val="004527CD"/>
    <w:rsid w:val="00454881"/>
    <w:rsid w:val="004573D6"/>
    <w:rsid w:val="004574D7"/>
    <w:rsid w:val="00460D34"/>
    <w:rsid w:val="00466398"/>
    <w:rsid w:val="00470BE6"/>
    <w:rsid w:val="00471A13"/>
    <w:rsid w:val="00471FBC"/>
    <w:rsid w:val="0047563A"/>
    <w:rsid w:val="00481E49"/>
    <w:rsid w:val="004862F5"/>
    <w:rsid w:val="00487A36"/>
    <w:rsid w:val="00492AF3"/>
    <w:rsid w:val="004951E9"/>
    <w:rsid w:val="00496192"/>
    <w:rsid w:val="004968B9"/>
    <w:rsid w:val="004A7047"/>
    <w:rsid w:val="004D6733"/>
    <w:rsid w:val="004E74C8"/>
    <w:rsid w:val="004F242B"/>
    <w:rsid w:val="004F46FE"/>
    <w:rsid w:val="004F5453"/>
    <w:rsid w:val="005011D9"/>
    <w:rsid w:val="005027E6"/>
    <w:rsid w:val="00510D63"/>
    <w:rsid w:val="00510E8D"/>
    <w:rsid w:val="005142A3"/>
    <w:rsid w:val="00515B56"/>
    <w:rsid w:val="005239E1"/>
    <w:rsid w:val="005262CE"/>
    <w:rsid w:val="00533225"/>
    <w:rsid w:val="0053677B"/>
    <w:rsid w:val="00536A14"/>
    <w:rsid w:val="00536BCB"/>
    <w:rsid w:val="00544E95"/>
    <w:rsid w:val="00545DAE"/>
    <w:rsid w:val="005461DE"/>
    <w:rsid w:val="005467FA"/>
    <w:rsid w:val="00546A2F"/>
    <w:rsid w:val="00563FCD"/>
    <w:rsid w:val="00570068"/>
    <w:rsid w:val="005740D2"/>
    <w:rsid w:val="0058091C"/>
    <w:rsid w:val="005844FB"/>
    <w:rsid w:val="0058501C"/>
    <w:rsid w:val="005B005C"/>
    <w:rsid w:val="005B3760"/>
    <w:rsid w:val="005B495F"/>
    <w:rsid w:val="005C1312"/>
    <w:rsid w:val="005C277E"/>
    <w:rsid w:val="005C4656"/>
    <w:rsid w:val="005C4F30"/>
    <w:rsid w:val="005D5C47"/>
    <w:rsid w:val="005E402F"/>
    <w:rsid w:val="005E7319"/>
    <w:rsid w:val="005E791A"/>
    <w:rsid w:val="005F0A1C"/>
    <w:rsid w:val="006002BB"/>
    <w:rsid w:val="00601418"/>
    <w:rsid w:val="006059AE"/>
    <w:rsid w:val="0060635D"/>
    <w:rsid w:val="006065C9"/>
    <w:rsid w:val="006127AF"/>
    <w:rsid w:val="0061307F"/>
    <w:rsid w:val="006215B5"/>
    <w:rsid w:val="00621E48"/>
    <w:rsid w:val="006232E9"/>
    <w:rsid w:val="0062767F"/>
    <w:rsid w:val="00634BCF"/>
    <w:rsid w:val="006350E5"/>
    <w:rsid w:val="00635FED"/>
    <w:rsid w:val="00636052"/>
    <w:rsid w:val="00636C8C"/>
    <w:rsid w:val="00640032"/>
    <w:rsid w:val="006505AD"/>
    <w:rsid w:val="00656DED"/>
    <w:rsid w:val="00657217"/>
    <w:rsid w:val="00661043"/>
    <w:rsid w:val="006619CA"/>
    <w:rsid w:val="00661EA0"/>
    <w:rsid w:val="006671F2"/>
    <w:rsid w:val="00667EED"/>
    <w:rsid w:val="0067147B"/>
    <w:rsid w:val="00671830"/>
    <w:rsid w:val="006733C3"/>
    <w:rsid w:val="0068692D"/>
    <w:rsid w:val="006911B9"/>
    <w:rsid w:val="00691E1C"/>
    <w:rsid w:val="00694FB7"/>
    <w:rsid w:val="006A0553"/>
    <w:rsid w:val="006A4301"/>
    <w:rsid w:val="006A4953"/>
    <w:rsid w:val="006B1AD8"/>
    <w:rsid w:val="006B2E03"/>
    <w:rsid w:val="006B74BE"/>
    <w:rsid w:val="006C0067"/>
    <w:rsid w:val="006C3814"/>
    <w:rsid w:val="006C3CB4"/>
    <w:rsid w:val="006D11F1"/>
    <w:rsid w:val="006D1F44"/>
    <w:rsid w:val="006D348E"/>
    <w:rsid w:val="006E07AE"/>
    <w:rsid w:val="006E133C"/>
    <w:rsid w:val="006E351B"/>
    <w:rsid w:val="006E3F7F"/>
    <w:rsid w:val="006E4464"/>
    <w:rsid w:val="006E70F7"/>
    <w:rsid w:val="006F2944"/>
    <w:rsid w:val="006F46A1"/>
    <w:rsid w:val="0070122B"/>
    <w:rsid w:val="00701E77"/>
    <w:rsid w:val="0070248A"/>
    <w:rsid w:val="00703D6D"/>
    <w:rsid w:val="0070494C"/>
    <w:rsid w:val="00704A3A"/>
    <w:rsid w:val="007069A6"/>
    <w:rsid w:val="007102D5"/>
    <w:rsid w:val="007144CA"/>
    <w:rsid w:val="00714748"/>
    <w:rsid w:val="00715409"/>
    <w:rsid w:val="0071747A"/>
    <w:rsid w:val="007176A8"/>
    <w:rsid w:val="00717FE8"/>
    <w:rsid w:val="00724E75"/>
    <w:rsid w:val="007279D5"/>
    <w:rsid w:val="00737B86"/>
    <w:rsid w:val="00737CB5"/>
    <w:rsid w:val="00741120"/>
    <w:rsid w:val="00741406"/>
    <w:rsid w:val="00750EE3"/>
    <w:rsid w:val="00750F0A"/>
    <w:rsid w:val="00754F30"/>
    <w:rsid w:val="00757C51"/>
    <w:rsid w:val="0076239A"/>
    <w:rsid w:val="007633D8"/>
    <w:rsid w:val="0076356B"/>
    <w:rsid w:val="00764A79"/>
    <w:rsid w:val="0078039F"/>
    <w:rsid w:val="00781786"/>
    <w:rsid w:val="00781A4E"/>
    <w:rsid w:val="007823C8"/>
    <w:rsid w:val="00791A55"/>
    <w:rsid w:val="007A0D26"/>
    <w:rsid w:val="007A12F4"/>
    <w:rsid w:val="007A6429"/>
    <w:rsid w:val="007B23A4"/>
    <w:rsid w:val="007B50AC"/>
    <w:rsid w:val="007C33C2"/>
    <w:rsid w:val="007D08CD"/>
    <w:rsid w:val="007D61CB"/>
    <w:rsid w:val="007E0842"/>
    <w:rsid w:val="007E17CE"/>
    <w:rsid w:val="007E1C6E"/>
    <w:rsid w:val="007E6DFB"/>
    <w:rsid w:val="007F04C5"/>
    <w:rsid w:val="007F07F9"/>
    <w:rsid w:val="007F1BC5"/>
    <w:rsid w:val="007F58CA"/>
    <w:rsid w:val="007F7DF5"/>
    <w:rsid w:val="008005F7"/>
    <w:rsid w:val="00803C2A"/>
    <w:rsid w:val="00810A76"/>
    <w:rsid w:val="00811751"/>
    <w:rsid w:val="00814127"/>
    <w:rsid w:val="00814FE2"/>
    <w:rsid w:val="00815394"/>
    <w:rsid w:val="00824ED5"/>
    <w:rsid w:val="00826F5F"/>
    <w:rsid w:val="00830AE4"/>
    <w:rsid w:val="00830C34"/>
    <w:rsid w:val="008411F8"/>
    <w:rsid w:val="00846772"/>
    <w:rsid w:val="00850795"/>
    <w:rsid w:val="0085082D"/>
    <w:rsid w:val="00851591"/>
    <w:rsid w:val="00855A34"/>
    <w:rsid w:val="00856929"/>
    <w:rsid w:val="008575FA"/>
    <w:rsid w:val="00861FE9"/>
    <w:rsid w:val="008621C2"/>
    <w:rsid w:val="00876AB2"/>
    <w:rsid w:val="00877B30"/>
    <w:rsid w:val="00880882"/>
    <w:rsid w:val="00883187"/>
    <w:rsid w:val="00884FA1"/>
    <w:rsid w:val="0088749A"/>
    <w:rsid w:val="008954CE"/>
    <w:rsid w:val="008A3FE9"/>
    <w:rsid w:val="008A54B1"/>
    <w:rsid w:val="008A655E"/>
    <w:rsid w:val="008B23B0"/>
    <w:rsid w:val="008B36DE"/>
    <w:rsid w:val="008B57DB"/>
    <w:rsid w:val="008B7502"/>
    <w:rsid w:val="008B7EE9"/>
    <w:rsid w:val="008C15A6"/>
    <w:rsid w:val="008C54B8"/>
    <w:rsid w:val="008C5A69"/>
    <w:rsid w:val="008D2D1D"/>
    <w:rsid w:val="008D4649"/>
    <w:rsid w:val="008E70B3"/>
    <w:rsid w:val="008F3E33"/>
    <w:rsid w:val="008F467F"/>
    <w:rsid w:val="008F644E"/>
    <w:rsid w:val="00915D23"/>
    <w:rsid w:val="00915EC6"/>
    <w:rsid w:val="00922729"/>
    <w:rsid w:val="009238CC"/>
    <w:rsid w:val="00923FBB"/>
    <w:rsid w:val="00926374"/>
    <w:rsid w:val="0092687F"/>
    <w:rsid w:val="009330F1"/>
    <w:rsid w:val="00934221"/>
    <w:rsid w:val="009344BE"/>
    <w:rsid w:val="00936F4F"/>
    <w:rsid w:val="0094549B"/>
    <w:rsid w:val="009524FA"/>
    <w:rsid w:val="00954360"/>
    <w:rsid w:val="00962689"/>
    <w:rsid w:val="00975330"/>
    <w:rsid w:val="00977C6B"/>
    <w:rsid w:val="009803E2"/>
    <w:rsid w:val="00983245"/>
    <w:rsid w:val="0098517A"/>
    <w:rsid w:val="0098758F"/>
    <w:rsid w:val="00992B2E"/>
    <w:rsid w:val="00993CE7"/>
    <w:rsid w:val="0099484D"/>
    <w:rsid w:val="00996C11"/>
    <w:rsid w:val="009A06F4"/>
    <w:rsid w:val="009A2134"/>
    <w:rsid w:val="009A3538"/>
    <w:rsid w:val="009A7B35"/>
    <w:rsid w:val="009A7FDB"/>
    <w:rsid w:val="009B163A"/>
    <w:rsid w:val="009B3585"/>
    <w:rsid w:val="009B4B09"/>
    <w:rsid w:val="009B5353"/>
    <w:rsid w:val="009B6813"/>
    <w:rsid w:val="009E7FDA"/>
    <w:rsid w:val="009F117F"/>
    <w:rsid w:val="009F6604"/>
    <w:rsid w:val="009F72DC"/>
    <w:rsid w:val="009F783D"/>
    <w:rsid w:val="00A11014"/>
    <w:rsid w:val="00A1109D"/>
    <w:rsid w:val="00A121D7"/>
    <w:rsid w:val="00A132A5"/>
    <w:rsid w:val="00A213E6"/>
    <w:rsid w:val="00A21526"/>
    <w:rsid w:val="00A22A73"/>
    <w:rsid w:val="00A250EF"/>
    <w:rsid w:val="00A42125"/>
    <w:rsid w:val="00A43184"/>
    <w:rsid w:val="00A527C1"/>
    <w:rsid w:val="00A5470E"/>
    <w:rsid w:val="00A54B47"/>
    <w:rsid w:val="00A56543"/>
    <w:rsid w:val="00A64161"/>
    <w:rsid w:val="00A76DD4"/>
    <w:rsid w:val="00A779EE"/>
    <w:rsid w:val="00A82553"/>
    <w:rsid w:val="00A852F0"/>
    <w:rsid w:val="00A96786"/>
    <w:rsid w:val="00AA432C"/>
    <w:rsid w:val="00AB30D2"/>
    <w:rsid w:val="00AB7024"/>
    <w:rsid w:val="00AB7D04"/>
    <w:rsid w:val="00AB7D43"/>
    <w:rsid w:val="00AC54A8"/>
    <w:rsid w:val="00AD73C8"/>
    <w:rsid w:val="00AE55F0"/>
    <w:rsid w:val="00AE67E1"/>
    <w:rsid w:val="00AF011B"/>
    <w:rsid w:val="00AF75A1"/>
    <w:rsid w:val="00B054F7"/>
    <w:rsid w:val="00B16765"/>
    <w:rsid w:val="00B171C6"/>
    <w:rsid w:val="00B17D95"/>
    <w:rsid w:val="00B20A1A"/>
    <w:rsid w:val="00B22ED2"/>
    <w:rsid w:val="00B232C9"/>
    <w:rsid w:val="00B32463"/>
    <w:rsid w:val="00B40B00"/>
    <w:rsid w:val="00B41D7D"/>
    <w:rsid w:val="00B42432"/>
    <w:rsid w:val="00B44B55"/>
    <w:rsid w:val="00B459B2"/>
    <w:rsid w:val="00B52EB6"/>
    <w:rsid w:val="00B53698"/>
    <w:rsid w:val="00B55D27"/>
    <w:rsid w:val="00B5602F"/>
    <w:rsid w:val="00B623A3"/>
    <w:rsid w:val="00B64327"/>
    <w:rsid w:val="00B71CED"/>
    <w:rsid w:val="00B72F85"/>
    <w:rsid w:val="00B75A0C"/>
    <w:rsid w:val="00B7600E"/>
    <w:rsid w:val="00B769D6"/>
    <w:rsid w:val="00B771DD"/>
    <w:rsid w:val="00B80766"/>
    <w:rsid w:val="00B81BD2"/>
    <w:rsid w:val="00B86C8D"/>
    <w:rsid w:val="00B94CCA"/>
    <w:rsid w:val="00BA0FEA"/>
    <w:rsid w:val="00BA2161"/>
    <w:rsid w:val="00BA50FE"/>
    <w:rsid w:val="00BA5FE0"/>
    <w:rsid w:val="00BA7556"/>
    <w:rsid w:val="00BB061F"/>
    <w:rsid w:val="00BB37BE"/>
    <w:rsid w:val="00BB3F4C"/>
    <w:rsid w:val="00BB74B4"/>
    <w:rsid w:val="00BC59C7"/>
    <w:rsid w:val="00BC6E1B"/>
    <w:rsid w:val="00BC7150"/>
    <w:rsid w:val="00BD0FA1"/>
    <w:rsid w:val="00BD330E"/>
    <w:rsid w:val="00BD3D99"/>
    <w:rsid w:val="00BD6611"/>
    <w:rsid w:val="00BE03D7"/>
    <w:rsid w:val="00BE3CCB"/>
    <w:rsid w:val="00BE764F"/>
    <w:rsid w:val="00BE7B1C"/>
    <w:rsid w:val="00BF116A"/>
    <w:rsid w:val="00BF4A7B"/>
    <w:rsid w:val="00C10CBC"/>
    <w:rsid w:val="00C12B45"/>
    <w:rsid w:val="00C1328F"/>
    <w:rsid w:val="00C15E39"/>
    <w:rsid w:val="00C160FB"/>
    <w:rsid w:val="00C21748"/>
    <w:rsid w:val="00C22550"/>
    <w:rsid w:val="00C303C3"/>
    <w:rsid w:val="00C349DF"/>
    <w:rsid w:val="00C368C7"/>
    <w:rsid w:val="00C45670"/>
    <w:rsid w:val="00C477B3"/>
    <w:rsid w:val="00C51CB5"/>
    <w:rsid w:val="00C60761"/>
    <w:rsid w:val="00C61D3D"/>
    <w:rsid w:val="00C7271C"/>
    <w:rsid w:val="00C74FA1"/>
    <w:rsid w:val="00C77CED"/>
    <w:rsid w:val="00C916FD"/>
    <w:rsid w:val="00C937A3"/>
    <w:rsid w:val="00C94633"/>
    <w:rsid w:val="00C954FE"/>
    <w:rsid w:val="00CA0158"/>
    <w:rsid w:val="00CA15E1"/>
    <w:rsid w:val="00CA3570"/>
    <w:rsid w:val="00CA79CC"/>
    <w:rsid w:val="00CB5FB7"/>
    <w:rsid w:val="00CB751A"/>
    <w:rsid w:val="00CC44B4"/>
    <w:rsid w:val="00CC685C"/>
    <w:rsid w:val="00CC6B9F"/>
    <w:rsid w:val="00CD0825"/>
    <w:rsid w:val="00CD5303"/>
    <w:rsid w:val="00CE22E0"/>
    <w:rsid w:val="00CE39FA"/>
    <w:rsid w:val="00CF0DAE"/>
    <w:rsid w:val="00CF462A"/>
    <w:rsid w:val="00CF613B"/>
    <w:rsid w:val="00D11EF7"/>
    <w:rsid w:val="00D14F81"/>
    <w:rsid w:val="00D16EDD"/>
    <w:rsid w:val="00D23ACE"/>
    <w:rsid w:val="00D27730"/>
    <w:rsid w:val="00D31418"/>
    <w:rsid w:val="00D31BE8"/>
    <w:rsid w:val="00D53247"/>
    <w:rsid w:val="00D532D5"/>
    <w:rsid w:val="00D57314"/>
    <w:rsid w:val="00D57AB1"/>
    <w:rsid w:val="00D632AE"/>
    <w:rsid w:val="00D6412C"/>
    <w:rsid w:val="00D71481"/>
    <w:rsid w:val="00D71731"/>
    <w:rsid w:val="00D74186"/>
    <w:rsid w:val="00D74A3E"/>
    <w:rsid w:val="00D85BE3"/>
    <w:rsid w:val="00D85FDA"/>
    <w:rsid w:val="00D92B41"/>
    <w:rsid w:val="00D95391"/>
    <w:rsid w:val="00D97231"/>
    <w:rsid w:val="00DA20CD"/>
    <w:rsid w:val="00DA4EA0"/>
    <w:rsid w:val="00DB1351"/>
    <w:rsid w:val="00DB5884"/>
    <w:rsid w:val="00DB7F83"/>
    <w:rsid w:val="00DC2644"/>
    <w:rsid w:val="00DC4FBD"/>
    <w:rsid w:val="00DC6B29"/>
    <w:rsid w:val="00DD114E"/>
    <w:rsid w:val="00DD788B"/>
    <w:rsid w:val="00DE24DF"/>
    <w:rsid w:val="00DE49BA"/>
    <w:rsid w:val="00DE5E5D"/>
    <w:rsid w:val="00DF57FD"/>
    <w:rsid w:val="00DF704D"/>
    <w:rsid w:val="00E04F2D"/>
    <w:rsid w:val="00E069ED"/>
    <w:rsid w:val="00E10289"/>
    <w:rsid w:val="00E178A1"/>
    <w:rsid w:val="00E206BE"/>
    <w:rsid w:val="00E21893"/>
    <w:rsid w:val="00E26C57"/>
    <w:rsid w:val="00E32A75"/>
    <w:rsid w:val="00E44FAC"/>
    <w:rsid w:val="00E47E2C"/>
    <w:rsid w:val="00E54727"/>
    <w:rsid w:val="00E55A76"/>
    <w:rsid w:val="00E60B2C"/>
    <w:rsid w:val="00E62654"/>
    <w:rsid w:val="00E64282"/>
    <w:rsid w:val="00E657DC"/>
    <w:rsid w:val="00E7472C"/>
    <w:rsid w:val="00E74BAB"/>
    <w:rsid w:val="00E81B2C"/>
    <w:rsid w:val="00E84019"/>
    <w:rsid w:val="00E85B3D"/>
    <w:rsid w:val="00E86F8D"/>
    <w:rsid w:val="00E905F1"/>
    <w:rsid w:val="00E90CA5"/>
    <w:rsid w:val="00E93590"/>
    <w:rsid w:val="00E94A33"/>
    <w:rsid w:val="00E966DF"/>
    <w:rsid w:val="00EA4C5E"/>
    <w:rsid w:val="00EA6ABD"/>
    <w:rsid w:val="00EB3194"/>
    <w:rsid w:val="00EB5C9C"/>
    <w:rsid w:val="00EC5703"/>
    <w:rsid w:val="00ED2CD5"/>
    <w:rsid w:val="00ED3C8D"/>
    <w:rsid w:val="00ED6C7B"/>
    <w:rsid w:val="00EE0BAE"/>
    <w:rsid w:val="00EE2AE7"/>
    <w:rsid w:val="00EE5405"/>
    <w:rsid w:val="00EF2A6A"/>
    <w:rsid w:val="00EF58BD"/>
    <w:rsid w:val="00EF6AAE"/>
    <w:rsid w:val="00F037B5"/>
    <w:rsid w:val="00F03846"/>
    <w:rsid w:val="00F07068"/>
    <w:rsid w:val="00F23EF6"/>
    <w:rsid w:val="00F25A0D"/>
    <w:rsid w:val="00F400A9"/>
    <w:rsid w:val="00F47E4B"/>
    <w:rsid w:val="00F51D45"/>
    <w:rsid w:val="00F541DF"/>
    <w:rsid w:val="00F56337"/>
    <w:rsid w:val="00F62DBD"/>
    <w:rsid w:val="00F63F55"/>
    <w:rsid w:val="00F7134A"/>
    <w:rsid w:val="00F73520"/>
    <w:rsid w:val="00F802A3"/>
    <w:rsid w:val="00F8206D"/>
    <w:rsid w:val="00F862EC"/>
    <w:rsid w:val="00F93C66"/>
    <w:rsid w:val="00F95071"/>
    <w:rsid w:val="00F97C4E"/>
    <w:rsid w:val="00FA01D8"/>
    <w:rsid w:val="00FA25AB"/>
    <w:rsid w:val="00FA484F"/>
    <w:rsid w:val="00FB0FD9"/>
    <w:rsid w:val="00FB15C2"/>
    <w:rsid w:val="00FB242D"/>
    <w:rsid w:val="00FB3062"/>
    <w:rsid w:val="00FB4887"/>
    <w:rsid w:val="00FC3D36"/>
    <w:rsid w:val="00FC5A71"/>
    <w:rsid w:val="00FD2A35"/>
    <w:rsid w:val="00FD483A"/>
    <w:rsid w:val="00FD4E3D"/>
    <w:rsid w:val="00FD6E3B"/>
    <w:rsid w:val="00FE4266"/>
    <w:rsid w:val="00FE556C"/>
    <w:rsid w:val="00FE7306"/>
    <w:rsid w:val="00FE784F"/>
    <w:rsid w:val="00FE79A2"/>
    <w:rsid w:val="00FF516E"/>
    <w:rsid w:val="00FF6420"/>
    <w:rsid w:val="00FF7AA8"/>
    <w:rsid w:val="00FF7D6F"/>
    <w:rsid w:val="00FF7F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BB"/>
    <w:pPr>
      <w:widowControl w:val="0"/>
      <w:autoSpaceDE w:val="0"/>
      <w:autoSpaceDN w:val="0"/>
      <w:adjustRightInd w:val="0"/>
    </w:pPr>
    <w:rPr>
      <w:rFonts w:ascii="Arial" w:eastAsia="Times New Roman" w:hAnsi="Arial" w:cs="Arial"/>
    </w:rPr>
  </w:style>
  <w:style w:type="paragraph" w:styleId="Ttulo2">
    <w:name w:val="heading 2"/>
    <w:basedOn w:val="Normal"/>
    <w:next w:val="Normal"/>
    <w:link w:val="Ttulo2Car"/>
    <w:qFormat/>
    <w:rsid w:val="00F07068"/>
    <w:pPr>
      <w:keepNext/>
      <w:widowControl/>
      <w:spacing w:before="240" w:after="120"/>
      <w:ind w:left="709"/>
      <w:jc w:val="both"/>
      <w:outlineLvl w:val="1"/>
    </w:pPr>
    <w:rPr>
      <w:bCs/>
      <w:i/>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067"/>
    <w:pPr>
      <w:tabs>
        <w:tab w:val="center" w:pos="4252"/>
        <w:tab w:val="right" w:pos="8504"/>
      </w:tabs>
    </w:pPr>
    <w:rPr>
      <w:rFonts w:cs="Times New Roman"/>
    </w:rPr>
  </w:style>
  <w:style w:type="character" w:customStyle="1" w:styleId="EncabezadoCar">
    <w:name w:val="Encabezado Car"/>
    <w:link w:val="Encabezado"/>
    <w:uiPriority w:val="99"/>
    <w:rsid w:val="006C0067"/>
    <w:rPr>
      <w:rFonts w:ascii="Arial" w:eastAsia="Times New Roman" w:hAnsi="Arial" w:cs="Arial"/>
      <w:sz w:val="20"/>
      <w:szCs w:val="20"/>
      <w:lang w:eastAsia="es-ES"/>
    </w:rPr>
  </w:style>
  <w:style w:type="paragraph" w:styleId="Piedepgina">
    <w:name w:val="footer"/>
    <w:basedOn w:val="Normal"/>
    <w:link w:val="PiedepginaCar"/>
    <w:uiPriority w:val="99"/>
    <w:unhideWhenUsed/>
    <w:rsid w:val="006C0067"/>
    <w:pPr>
      <w:tabs>
        <w:tab w:val="center" w:pos="4252"/>
        <w:tab w:val="right" w:pos="8504"/>
      </w:tabs>
    </w:pPr>
    <w:rPr>
      <w:rFonts w:cs="Times New Roman"/>
    </w:rPr>
  </w:style>
  <w:style w:type="character" w:customStyle="1" w:styleId="PiedepginaCar">
    <w:name w:val="Pie de página Car"/>
    <w:link w:val="Piedepgina"/>
    <w:uiPriority w:val="99"/>
    <w:rsid w:val="006C0067"/>
    <w:rPr>
      <w:rFonts w:ascii="Arial" w:eastAsia="Times New Roman" w:hAnsi="Arial" w:cs="Arial"/>
      <w:sz w:val="20"/>
      <w:szCs w:val="20"/>
      <w:lang w:eastAsia="es-ES"/>
    </w:rPr>
  </w:style>
  <w:style w:type="paragraph" w:styleId="Textodeglobo">
    <w:name w:val="Balloon Text"/>
    <w:basedOn w:val="Normal"/>
    <w:link w:val="TextodegloboCar"/>
    <w:uiPriority w:val="99"/>
    <w:semiHidden/>
    <w:unhideWhenUsed/>
    <w:rsid w:val="006C0067"/>
    <w:rPr>
      <w:rFonts w:ascii="Tahoma" w:hAnsi="Tahoma" w:cs="Times New Roman"/>
      <w:sz w:val="16"/>
      <w:szCs w:val="16"/>
    </w:rPr>
  </w:style>
  <w:style w:type="character" w:customStyle="1" w:styleId="TextodegloboCar">
    <w:name w:val="Texto de globo Car"/>
    <w:link w:val="Textodeglobo"/>
    <w:uiPriority w:val="99"/>
    <w:semiHidden/>
    <w:rsid w:val="006C0067"/>
    <w:rPr>
      <w:rFonts w:ascii="Tahoma" w:eastAsia="Times New Roman" w:hAnsi="Tahoma" w:cs="Tahoma"/>
      <w:sz w:val="16"/>
      <w:szCs w:val="16"/>
      <w:lang w:eastAsia="es-ES"/>
    </w:rPr>
  </w:style>
  <w:style w:type="paragraph" w:customStyle="1" w:styleId="Default">
    <w:name w:val="Default"/>
    <w:rsid w:val="006C0067"/>
    <w:pPr>
      <w:widowControl w:val="0"/>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semiHidden/>
    <w:unhideWhenUsed/>
    <w:rsid w:val="006C0067"/>
    <w:rPr>
      <w:sz w:val="16"/>
      <w:szCs w:val="16"/>
    </w:rPr>
  </w:style>
  <w:style w:type="paragraph" w:styleId="Textocomentario">
    <w:name w:val="annotation text"/>
    <w:basedOn w:val="Normal"/>
    <w:link w:val="TextocomentarioCar"/>
    <w:uiPriority w:val="99"/>
    <w:semiHidden/>
    <w:unhideWhenUsed/>
    <w:rsid w:val="006C0067"/>
    <w:rPr>
      <w:rFonts w:cs="Times New Roman"/>
    </w:rPr>
  </w:style>
  <w:style w:type="character" w:customStyle="1" w:styleId="TextocomentarioCar">
    <w:name w:val="Texto comentario Car"/>
    <w:link w:val="Textocomentario"/>
    <w:uiPriority w:val="99"/>
    <w:semiHidden/>
    <w:rsid w:val="006C0067"/>
    <w:rPr>
      <w:rFonts w:ascii="Arial" w:eastAsia="Times New Roman" w:hAnsi="Arial" w:cs="Times New Roman"/>
      <w:sz w:val="20"/>
      <w:szCs w:val="20"/>
    </w:rPr>
  </w:style>
  <w:style w:type="character" w:customStyle="1" w:styleId="AsuntodelcomentarioCar">
    <w:name w:val="Asunto del comentario Car"/>
    <w:link w:val="Asuntodelcomentario"/>
    <w:uiPriority w:val="99"/>
    <w:semiHidden/>
    <w:rsid w:val="006C0067"/>
    <w:rPr>
      <w:rFonts w:ascii="Arial" w:eastAsia="Times New Roman" w:hAnsi="Arial"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6C0067"/>
    <w:rPr>
      <w:b/>
      <w:bCs/>
    </w:rPr>
  </w:style>
  <w:style w:type="paragraph" w:customStyle="1" w:styleId="CM29">
    <w:name w:val="CM29"/>
    <w:basedOn w:val="Default"/>
    <w:next w:val="Default"/>
    <w:rsid w:val="006C0067"/>
    <w:pPr>
      <w:spacing w:after="118"/>
    </w:pPr>
    <w:rPr>
      <w:rFonts w:cs="Times New Roman"/>
      <w:color w:val="auto"/>
    </w:rPr>
  </w:style>
  <w:style w:type="paragraph" w:styleId="Sangradetextonormal">
    <w:name w:val="Body Text Indent"/>
    <w:basedOn w:val="Normal"/>
    <w:link w:val="SangradetextonormalCar"/>
    <w:rsid w:val="00D57AB1"/>
    <w:pPr>
      <w:widowControl/>
      <w:autoSpaceDE/>
      <w:autoSpaceDN/>
      <w:adjustRightInd/>
      <w:ind w:firstLine="708"/>
      <w:jc w:val="both"/>
    </w:pPr>
    <w:rPr>
      <w:rFonts w:ascii="Times New Roman" w:hAnsi="Times New Roman" w:cs="Times New Roman"/>
      <w:sz w:val="24"/>
      <w:szCs w:val="24"/>
    </w:rPr>
  </w:style>
  <w:style w:type="character" w:customStyle="1" w:styleId="SangradetextonormalCar">
    <w:name w:val="Sangría de texto normal Car"/>
    <w:link w:val="Sangradetextonormal"/>
    <w:rsid w:val="00D57AB1"/>
    <w:rPr>
      <w:rFonts w:ascii="Times New Roman" w:eastAsia="Times New Roman" w:hAnsi="Times New Roman"/>
      <w:sz w:val="24"/>
      <w:szCs w:val="24"/>
    </w:rPr>
  </w:style>
  <w:style w:type="paragraph" w:styleId="Sinespaciado">
    <w:name w:val="No Spacing"/>
    <w:uiPriority w:val="1"/>
    <w:qFormat/>
    <w:rsid w:val="00336355"/>
    <w:pPr>
      <w:widowControl w:val="0"/>
      <w:autoSpaceDE w:val="0"/>
      <w:autoSpaceDN w:val="0"/>
      <w:adjustRightInd w:val="0"/>
    </w:pPr>
    <w:rPr>
      <w:rFonts w:ascii="Arial" w:eastAsia="Times New Roman" w:hAnsi="Arial" w:cs="Arial"/>
    </w:rPr>
  </w:style>
  <w:style w:type="paragraph" w:styleId="Textoindependiente">
    <w:name w:val="Body Text"/>
    <w:basedOn w:val="Normal"/>
    <w:link w:val="TextoindependienteCar"/>
    <w:uiPriority w:val="99"/>
    <w:semiHidden/>
    <w:unhideWhenUsed/>
    <w:rsid w:val="00F8206D"/>
    <w:pPr>
      <w:spacing w:after="120"/>
    </w:pPr>
    <w:rPr>
      <w:rFonts w:cs="Times New Roman"/>
    </w:rPr>
  </w:style>
  <w:style w:type="character" w:customStyle="1" w:styleId="TextoindependienteCar">
    <w:name w:val="Texto independiente Car"/>
    <w:link w:val="Textoindependiente"/>
    <w:uiPriority w:val="99"/>
    <w:semiHidden/>
    <w:rsid w:val="00F8206D"/>
    <w:rPr>
      <w:rFonts w:ascii="Arial" w:eastAsia="Times New Roman" w:hAnsi="Arial" w:cs="Arial"/>
    </w:rPr>
  </w:style>
  <w:style w:type="table" w:styleId="Tablaconcuadrcula">
    <w:name w:val="Table Grid"/>
    <w:basedOn w:val="Tablanormal"/>
    <w:uiPriority w:val="59"/>
    <w:rsid w:val="00112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Default"/>
    <w:next w:val="Default"/>
    <w:rsid w:val="00B7600E"/>
    <w:pPr>
      <w:spacing w:line="231" w:lineRule="atLeast"/>
    </w:pPr>
    <w:rPr>
      <w:rFonts w:cs="Times New Roman"/>
      <w:color w:val="auto"/>
    </w:rPr>
  </w:style>
  <w:style w:type="character" w:customStyle="1" w:styleId="Ttulo2Car">
    <w:name w:val="Título 2 Car"/>
    <w:basedOn w:val="Fuentedeprrafopredeter"/>
    <w:link w:val="Ttulo2"/>
    <w:rsid w:val="00F07068"/>
    <w:rPr>
      <w:rFonts w:ascii="Arial" w:eastAsia="Times New Roman" w:hAnsi="Arial" w:cs="Arial"/>
      <w:bCs/>
      <w:i/>
      <w:color w:val="000000"/>
      <w:sz w:val="24"/>
      <w:szCs w:val="24"/>
    </w:rPr>
  </w:style>
  <w:style w:type="paragraph" w:styleId="Prrafodelista">
    <w:name w:val="List Paragraph"/>
    <w:basedOn w:val="Normal"/>
    <w:uiPriority w:val="34"/>
    <w:qFormat/>
    <w:rsid w:val="009344BE"/>
    <w:pPr>
      <w:ind w:left="720"/>
      <w:contextualSpacing/>
    </w:pPr>
  </w:style>
</w:styles>
</file>

<file path=word/webSettings.xml><?xml version="1.0" encoding="utf-8"?>
<w:webSettings xmlns:r="http://schemas.openxmlformats.org/officeDocument/2006/relationships" xmlns:w="http://schemas.openxmlformats.org/wordprocessingml/2006/main">
  <w:divs>
    <w:div w:id="13654948">
      <w:bodyDiv w:val="1"/>
      <w:marLeft w:val="0"/>
      <w:marRight w:val="0"/>
      <w:marTop w:val="0"/>
      <w:marBottom w:val="0"/>
      <w:divBdr>
        <w:top w:val="none" w:sz="0" w:space="0" w:color="auto"/>
        <w:left w:val="none" w:sz="0" w:space="0" w:color="auto"/>
        <w:bottom w:val="none" w:sz="0" w:space="0" w:color="auto"/>
        <w:right w:val="none" w:sz="0" w:space="0" w:color="auto"/>
      </w:divBdr>
    </w:div>
    <w:div w:id="182011479">
      <w:bodyDiv w:val="1"/>
      <w:marLeft w:val="0"/>
      <w:marRight w:val="0"/>
      <w:marTop w:val="0"/>
      <w:marBottom w:val="0"/>
      <w:divBdr>
        <w:top w:val="none" w:sz="0" w:space="0" w:color="auto"/>
        <w:left w:val="none" w:sz="0" w:space="0" w:color="auto"/>
        <w:bottom w:val="none" w:sz="0" w:space="0" w:color="auto"/>
        <w:right w:val="none" w:sz="0" w:space="0" w:color="auto"/>
      </w:divBdr>
    </w:div>
    <w:div w:id="221840103">
      <w:bodyDiv w:val="1"/>
      <w:marLeft w:val="0"/>
      <w:marRight w:val="0"/>
      <w:marTop w:val="0"/>
      <w:marBottom w:val="0"/>
      <w:divBdr>
        <w:top w:val="none" w:sz="0" w:space="0" w:color="auto"/>
        <w:left w:val="none" w:sz="0" w:space="0" w:color="auto"/>
        <w:bottom w:val="none" w:sz="0" w:space="0" w:color="auto"/>
        <w:right w:val="none" w:sz="0" w:space="0" w:color="auto"/>
      </w:divBdr>
    </w:div>
    <w:div w:id="349915243">
      <w:bodyDiv w:val="1"/>
      <w:marLeft w:val="0"/>
      <w:marRight w:val="0"/>
      <w:marTop w:val="0"/>
      <w:marBottom w:val="0"/>
      <w:divBdr>
        <w:top w:val="none" w:sz="0" w:space="0" w:color="auto"/>
        <w:left w:val="none" w:sz="0" w:space="0" w:color="auto"/>
        <w:bottom w:val="none" w:sz="0" w:space="0" w:color="auto"/>
        <w:right w:val="none" w:sz="0" w:space="0" w:color="auto"/>
      </w:divBdr>
    </w:div>
    <w:div w:id="360472913">
      <w:bodyDiv w:val="1"/>
      <w:marLeft w:val="0"/>
      <w:marRight w:val="0"/>
      <w:marTop w:val="0"/>
      <w:marBottom w:val="0"/>
      <w:divBdr>
        <w:top w:val="none" w:sz="0" w:space="0" w:color="auto"/>
        <w:left w:val="none" w:sz="0" w:space="0" w:color="auto"/>
        <w:bottom w:val="none" w:sz="0" w:space="0" w:color="auto"/>
        <w:right w:val="none" w:sz="0" w:space="0" w:color="auto"/>
      </w:divBdr>
    </w:div>
    <w:div w:id="389378797">
      <w:bodyDiv w:val="1"/>
      <w:marLeft w:val="0"/>
      <w:marRight w:val="0"/>
      <w:marTop w:val="0"/>
      <w:marBottom w:val="0"/>
      <w:divBdr>
        <w:top w:val="none" w:sz="0" w:space="0" w:color="auto"/>
        <w:left w:val="none" w:sz="0" w:space="0" w:color="auto"/>
        <w:bottom w:val="none" w:sz="0" w:space="0" w:color="auto"/>
        <w:right w:val="none" w:sz="0" w:space="0" w:color="auto"/>
      </w:divBdr>
    </w:div>
    <w:div w:id="389773728">
      <w:bodyDiv w:val="1"/>
      <w:marLeft w:val="0"/>
      <w:marRight w:val="0"/>
      <w:marTop w:val="0"/>
      <w:marBottom w:val="0"/>
      <w:divBdr>
        <w:top w:val="none" w:sz="0" w:space="0" w:color="auto"/>
        <w:left w:val="none" w:sz="0" w:space="0" w:color="auto"/>
        <w:bottom w:val="none" w:sz="0" w:space="0" w:color="auto"/>
        <w:right w:val="none" w:sz="0" w:space="0" w:color="auto"/>
      </w:divBdr>
    </w:div>
    <w:div w:id="406537505">
      <w:bodyDiv w:val="1"/>
      <w:marLeft w:val="0"/>
      <w:marRight w:val="0"/>
      <w:marTop w:val="0"/>
      <w:marBottom w:val="0"/>
      <w:divBdr>
        <w:top w:val="none" w:sz="0" w:space="0" w:color="auto"/>
        <w:left w:val="none" w:sz="0" w:space="0" w:color="auto"/>
        <w:bottom w:val="none" w:sz="0" w:space="0" w:color="auto"/>
        <w:right w:val="none" w:sz="0" w:space="0" w:color="auto"/>
      </w:divBdr>
    </w:div>
    <w:div w:id="419180816">
      <w:bodyDiv w:val="1"/>
      <w:marLeft w:val="0"/>
      <w:marRight w:val="0"/>
      <w:marTop w:val="0"/>
      <w:marBottom w:val="0"/>
      <w:divBdr>
        <w:top w:val="none" w:sz="0" w:space="0" w:color="auto"/>
        <w:left w:val="none" w:sz="0" w:space="0" w:color="auto"/>
        <w:bottom w:val="none" w:sz="0" w:space="0" w:color="auto"/>
        <w:right w:val="none" w:sz="0" w:space="0" w:color="auto"/>
      </w:divBdr>
    </w:div>
    <w:div w:id="456800583">
      <w:bodyDiv w:val="1"/>
      <w:marLeft w:val="0"/>
      <w:marRight w:val="0"/>
      <w:marTop w:val="0"/>
      <w:marBottom w:val="0"/>
      <w:divBdr>
        <w:top w:val="none" w:sz="0" w:space="0" w:color="auto"/>
        <w:left w:val="none" w:sz="0" w:space="0" w:color="auto"/>
        <w:bottom w:val="none" w:sz="0" w:space="0" w:color="auto"/>
        <w:right w:val="none" w:sz="0" w:space="0" w:color="auto"/>
      </w:divBdr>
    </w:div>
    <w:div w:id="513766384">
      <w:bodyDiv w:val="1"/>
      <w:marLeft w:val="0"/>
      <w:marRight w:val="0"/>
      <w:marTop w:val="0"/>
      <w:marBottom w:val="0"/>
      <w:divBdr>
        <w:top w:val="none" w:sz="0" w:space="0" w:color="auto"/>
        <w:left w:val="none" w:sz="0" w:space="0" w:color="auto"/>
        <w:bottom w:val="none" w:sz="0" w:space="0" w:color="auto"/>
        <w:right w:val="none" w:sz="0" w:space="0" w:color="auto"/>
      </w:divBdr>
    </w:div>
    <w:div w:id="563294703">
      <w:bodyDiv w:val="1"/>
      <w:marLeft w:val="0"/>
      <w:marRight w:val="0"/>
      <w:marTop w:val="0"/>
      <w:marBottom w:val="0"/>
      <w:divBdr>
        <w:top w:val="none" w:sz="0" w:space="0" w:color="auto"/>
        <w:left w:val="none" w:sz="0" w:space="0" w:color="auto"/>
        <w:bottom w:val="none" w:sz="0" w:space="0" w:color="auto"/>
        <w:right w:val="none" w:sz="0" w:space="0" w:color="auto"/>
      </w:divBdr>
    </w:div>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630673663">
      <w:bodyDiv w:val="1"/>
      <w:marLeft w:val="0"/>
      <w:marRight w:val="0"/>
      <w:marTop w:val="0"/>
      <w:marBottom w:val="0"/>
      <w:divBdr>
        <w:top w:val="none" w:sz="0" w:space="0" w:color="auto"/>
        <w:left w:val="none" w:sz="0" w:space="0" w:color="auto"/>
        <w:bottom w:val="none" w:sz="0" w:space="0" w:color="auto"/>
        <w:right w:val="none" w:sz="0" w:space="0" w:color="auto"/>
      </w:divBdr>
    </w:div>
    <w:div w:id="635843527">
      <w:bodyDiv w:val="1"/>
      <w:marLeft w:val="0"/>
      <w:marRight w:val="0"/>
      <w:marTop w:val="0"/>
      <w:marBottom w:val="0"/>
      <w:divBdr>
        <w:top w:val="none" w:sz="0" w:space="0" w:color="auto"/>
        <w:left w:val="none" w:sz="0" w:space="0" w:color="auto"/>
        <w:bottom w:val="none" w:sz="0" w:space="0" w:color="auto"/>
        <w:right w:val="none" w:sz="0" w:space="0" w:color="auto"/>
      </w:divBdr>
    </w:div>
    <w:div w:id="638649517">
      <w:bodyDiv w:val="1"/>
      <w:marLeft w:val="0"/>
      <w:marRight w:val="0"/>
      <w:marTop w:val="0"/>
      <w:marBottom w:val="0"/>
      <w:divBdr>
        <w:top w:val="none" w:sz="0" w:space="0" w:color="auto"/>
        <w:left w:val="none" w:sz="0" w:space="0" w:color="auto"/>
        <w:bottom w:val="none" w:sz="0" w:space="0" w:color="auto"/>
        <w:right w:val="none" w:sz="0" w:space="0" w:color="auto"/>
      </w:divBdr>
    </w:div>
    <w:div w:id="682391020">
      <w:bodyDiv w:val="1"/>
      <w:marLeft w:val="0"/>
      <w:marRight w:val="0"/>
      <w:marTop w:val="0"/>
      <w:marBottom w:val="0"/>
      <w:divBdr>
        <w:top w:val="none" w:sz="0" w:space="0" w:color="auto"/>
        <w:left w:val="none" w:sz="0" w:space="0" w:color="auto"/>
        <w:bottom w:val="none" w:sz="0" w:space="0" w:color="auto"/>
        <w:right w:val="none" w:sz="0" w:space="0" w:color="auto"/>
      </w:divBdr>
    </w:div>
    <w:div w:id="695274946">
      <w:bodyDiv w:val="1"/>
      <w:marLeft w:val="0"/>
      <w:marRight w:val="0"/>
      <w:marTop w:val="0"/>
      <w:marBottom w:val="0"/>
      <w:divBdr>
        <w:top w:val="none" w:sz="0" w:space="0" w:color="auto"/>
        <w:left w:val="none" w:sz="0" w:space="0" w:color="auto"/>
        <w:bottom w:val="none" w:sz="0" w:space="0" w:color="auto"/>
        <w:right w:val="none" w:sz="0" w:space="0" w:color="auto"/>
      </w:divBdr>
    </w:div>
    <w:div w:id="756555820">
      <w:bodyDiv w:val="1"/>
      <w:marLeft w:val="0"/>
      <w:marRight w:val="0"/>
      <w:marTop w:val="0"/>
      <w:marBottom w:val="0"/>
      <w:divBdr>
        <w:top w:val="none" w:sz="0" w:space="0" w:color="auto"/>
        <w:left w:val="none" w:sz="0" w:space="0" w:color="auto"/>
        <w:bottom w:val="none" w:sz="0" w:space="0" w:color="auto"/>
        <w:right w:val="none" w:sz="0" w:space="0" w:color="auto"/>
      </w:divBdr>
    </w:div>
    <w:div w:id="762530942">
      <w:bodyDiv w:val="1"/>
      <w:marLeft w:val="0"/>
      <w:marRight w:val="0"/>
      <w:marTop w:val="0"/>
      <w:marBottom w:val="0"/>
      <w:divBdr>
        <w:top w:val="none" w:sz="0" w:space="0" w:color="auto"/>
        <w:left w:val="none" w:sz="0" w:space="0" w:color="auto"/>
        <w:bottom w:val="none" w:sz="0" w:space="0" w:color="auto"/>
        <w:right w:val="none" w:sz="0" w:space="0" w:color="auto"/>
      </w:divBdr>
    </w:div>
    <w:div w:id="817381694">
      <w:bodyDiv w:val="1"/>
      <w:marLeft w:val="0"/>
      <w:marRight w:val="0"/>
      <w:marTop w:val="0"/>
      <w:marBottom w:val="0"/>
      <w:divBdr>
        <w:top w:val="none" w:sz="0" w:space="0" w:color="auto"/>
        <w:left w:val="none" w:sz="0" w:space="0" w:color="auto"/>
        <w:bottom w:val="none" w:sz="0" w:space="0" w:color="auto"/>
        <w:right w:val="none" w:sz="0" w:space="0" w:color="auto"/>
      </w:divBdr>
    </w:div>
    <w:div w:id="855268628">
      <w:bodyDiv w:val="1"/>
      <w:marLeft w:val="0"/>
      <w:marRight w:val="0"/>
      <w:marTop w:val="0"/>
      <w:marBottom w:val="0"/>
      <w:divBdr>
        <w:top w:val="none" w:sz="0" w:space="0" w:color="auto"/>
        <w:left w:val="none" w:sz="0" w:space="0" w:color="auto"/>
        <w:bottom w:val="none" w:sz="0" w:space="0" w:color="auto"/>
        <w:right w:val="none" w:sz="0" w:space="0" w:color="auto"/>
      </w:divBdr>
    </w:div>
    <w:div w:id="860824743">
      <w:bodyDiv w:val="1"/>
      <w:marLeft w:val="0"/>
      <w:marRight w:val="0"/>
      <w:marTop w:val="0"/>
      <w:marBottom w:val="0"/>
      <w:divBdr>
        <w:top w:val="none" w:sz="0" w:space="0" w:color="auto"/>
        <w:left w:val="none" w:sz="0" w:space="0" w:color="auto"/>
        <w:bottom w:val="none" w:sz="0" w:space="0" w:color="auto"/>
        <w:right w:val="none" w:sz="0" w:space="0" w:color="auto"/>
      </w:divBdr>
    </w:div>
    <w:div w:id="908229405">
      <w:bodyDiv w:val="1"/>
      <w:marLeft w:val="0"/>
      <w:marRight w:val="0"/>
      <w:marTop w:val="0"/>
      <w:marBottom w:val="0"/>
      <w:divBdr>
        <w:top w:val="none" w:sz="0" w:space="0" w:color="auto"/>
        <w:left w:val="none" w:sz="0" w:space="0" w:color="auto"/>
        <w:bottom w:val="none" w:sz="0" w:space="0" w:color="auto"/>
        <w:right w:val="none" w:sz="0" w:space="0" w:color="auto"/>
      </w:divBdr>
    </w:div>
    <w:div w:id="942885181">
      <w:bodyDiv w:val="1"/>
      <w:marLeft w:val="0"/>
      <w:marRight w:val="0"/>
      <w:marTop w:val="0"/>
      <w:marBottom w:val="0"/>
      <w:divBdr>
        <w:top w:val="none" w:sz="0" w:space="0" w:color="auto"/>
        <w:left w:val="none" w:sz="0" w:space="0" w:color="auto"/>
        <w:bottom w:val="none" w:sz="0" w:space="0" w:color="auto"/>
        <w:right w:val="none" w:sz="0" w:space="0" w:color="auto"/>
      </w:divBdr>
    </w:div>
    <w:div w:id="967510105">
      <w:bodyDiv w:val="1"/>
      <w:marLeft w:val="0"/>
      <w:marRight w:val="0"/>
      <w:marTop w:val="0"/>
      <w:marBottom w:val="0"/>
      <w:divBdr>
        <w:top w:val="none" w:sz="0" w:space="0" w:color="auto"/>
        <w:left w:val="none" w:sz="0" w:space="0" w:color="auto"/>
        <w:bottom w:val="none" w:sz="0" w:space="0" w:color="auto"/>
        <w:right w:val="none" w:sz="0" w:space="0" w:color="auto"/>
      </w:divBdr>
    </w:div>
    <w:div w:id="1080063465">
      <w:bodyDiv w:val="1"/>
      <w:marLeft w:val="0"/>
      <w:marRight w:val="0"/>
      <w:marTop w:val="0"/>
      <w:marBottom w:val="0"/>
      <w:divBdr>
        <w:top w:val="none" w:sz="0" w:space="0" w:color="auto"/>
        <w:left w:val="none" w:sz="0" w:space="0" w:color="auto"/>
        <w:bottom w:val="none" w:sz="0" w:space="0" w:color="auto"/>
        <w:right w:val="none" w:sz="0" w:space="0" w:color="auto"/>
      </w:divBdr>
    </w:div>
    <w:div w:id="1332953208">
      <w:bodyDiv w:val="1"/>
      <w:marLeft w:val="0"/>
      <w:marRight w:val="0"/>
      <w:marTop w:val="0"/>
      <w:marBottom w:val="0"/>
      <w:divBdr>
        <w:top w:val="none" w:sz="0" w:space="0" w:color="auto"/>
        <w:left w:val="none" w:sz="0" w:space="0" w:color="auto"/>
        <w:bottom w:val="none" w:sz="0" w:space="0" w:color="auto"/>
        <w:right w:val="none" w:sz="0" w:space="0" w:color="auto"/>
      </w:divBdr>
    </w:div>
    <w:div w:id="1357775360">
      <w:bodyDiv w:val="1"/>
      <w:marLeft w:val="0"/>
      <w:marRight w:val="0"/>
      <w:marTop w:val="0"/>
      <w:marBottom w:val="0"/>
      <w:divBdr>
        <w:top w:val="none" w:sz="0" w:space="0" w:color="auto"/>
        <w:left w:val="none" w:sz="0" w:space="0" w:color="auto"/>
        <w:bottom w:val="none" w:sz="0" w:space="0" w:color="auto"/>
        <w:right w:val="none" w:sz="0" w:space="0" w:color="auto"/>
      </w:divBdr>
    </w:div>
    <w:div w:id="1398355832">
      <w:bodyDiv w:val="1"/>
      <w:marLeft w:val="0"/>
      <w:marRight w:val="0"/>
      <w:marTop w:val="0"/>
      <w:marBottom w:val="0"/>
      <w:divBdr>
        <w:top w:val="none" w:sz="0" w:space="0" w:color="auto"/>
        <w:left w:val="none" w:sz="0" w:space="0" w:color="auto"/>
        <w:bottom w:val="none" w:sz="0" w:space="0" w:color="auto"/>
        <w:right w:val="none" w:sz="0" w:space="0" w:color="auto"/>
      </w:divBdr>
    </w:div>
    <w:div w:id="1458182459">
      <w:bodyDiv w:val="1"/>
      <w:marLeft w:val="0"/>
      <w:marRight w:val="0"/>
      <w:marTop w:val="0"/>
      <w:marBottom w:val="0"/>
      <w:divBdr>
        <w:top w:val="none" w:sz="0" w:space="0" w:color="auto"/>
        <w:left w:val="none" w:sz="0" w:space="0" w:color="auto"/>
        <w:bottom w:val="none" w:sz="0" w:space="0" w:color="auto"/>
        <w:right w:val="none" w:sz="0" w:space="0" w:color="auto"/>
      </w:divBdr>
    </w:div>
    <w:div w:id="1546335000">
      <w:bodyDiv w:val="1"/>
      <w:marLeft w:val="0"/>
      <w:marRight w:val="0"/>
      <w:marTop w:val="0"/>
      <w:marBottom w:val="0"/>
      <w:divBdr>
        <w:top w:val="none" w:sz="0" w:space="0" w:color="auto"/>
        <w:left w:val="none" w:sz="0" w:space="0" w:color="auto"/>
        <w:bottom w:val="none" w:sz="0" w:space="0" w:color="auto"/>
        <w:right w:val="none" w:sz="0" w:space="0" w:color="auto"/>
      </w:divBdr>
    </w:div>
    <w:div w:id="1645893054">
      <w:bodyDiv w:val="1"/>
      <w:marLeft w:val="0"/>
      <w:marRight w:val="0"/>
      <w:marTop w:val="0"/>
      <w:marBottom w:val="0"/>
      <w:divBdr>
        <w:top w:val="none" w:sz="0" w:space="0" w:color="auto"/>
        <w:left w:val="none" w:sz="0" w:space="0" w:color="auto"/>
        <w:bottom w:val="none" w:sz="0" w:space="0" w:color="auto"/>
        <w:right w:val="none" w:sz="0" w:space="0" w:color="auto"/>
      </w:divBdr>
    </w:div>
    <w:div w:id="1649743819">
      <w:bodyDiv w:val="1"/>
      <w:marLeft w:val="0"/>
      <w:marRight w:val="0"/>
      <w:marTop w:val="0"/>
      <w:marBottom w:val="0"/>
      <w:divBdr>
        <w:top w:val="none" w:sz="0" w:space="0" w:color="auto"/>
        <w:left w:val="none" w:sz="0" w:space="0" w:color="auto"/>
        <w:bottom w:val="none" w:sz="0" w:space="0" w:color="auto"/>
        <w:right w:val="none" w:sz="0" w:space="0" w:color="auto"/>
      </w:divBdr>
    </w:div>
    <w:div w:id="1696539797">
      <w:bodyDiv w:val="1"/>
      <w:marLeft w:val="0"/>
      <w:marRight w:val="0"/>
      <w:marTop w:val="0"/>
      <w:marBottom w:val="0"/>
      <w:divBdr>
        <w:top w:val="none" w:sz="0" w:space="0" w:color="auto"/>
        <w:left w:val="none" w:sz="0" w:space="0" w:color="auto"/>
        <w:bottom w:val="none" w:sz="0" w:space="0" w:color="auto"/>
        <w:right w:val="none" w:sz="0" w:space="0" w:color="auto"/>
      </w:divBdr>
    </w:div>
    <w:div w:id="1724595477">
      <w:bodyDiv w:val="1"/>
      <w:marLeft w:val="0"/>
      <w:marRight w:val="0"/>
      <w:marTop w:val="0"/>
      <w:marBottom w:val="0"/>
      <w:divBdr>
        <w:top w:val="none" w:sz="0" w:space="0" w:color="auto"/>
        <w:left w:val="none" w:sz="0" w:space="0" w:color="auto"/>
        <w:bottom w:val="none" w:sz="0" w:space="0" w:color="auto"/>
        <w:right w:val="none" w:sz="0" w:space="0" w:color="auto"/>
      </w:divBdr>
    </w:div>
    <w:div w:id="1767310235">
      <w:bodyDiv w:val="1"/>
      <w:marLeft w:val="0"/>
      <w:marRight w:val="0"/>
      <w:marTop w:val="0"/>
      <w:marBottom w:val="0"/>
      <w:divBdr>
        <w:top w:val="none" w:sz="0" w:space="0" w:color="auto"/>
        <w:left w:val="none" w:sz="0" w:space="0" w:color="auto"/>
        <w:bottom w:val="none" w:sz="0" w:space="0" w:color="auto"/>
        <w:right w:val="none" w:sz="0" w:space="0" w:color="auto"/>
      </w:divBdr>
    </w:div>
    <w:div w:id="1803574113">
      <w:bodyDiv w:val="1"/>
      <w:marLeft w:val="0"/>
      <w:marRight w:val="0"/>
      <w:marTop w:val="0"/>
      <w:marBottom w:val="0"/>
      <w:divBdr>
        <w:top w:val="none" w:sz="0" w:space="0" w:color="auto"/>
        <w:left w:val="none" w:sz="0" w:space="0" w:color="auto"/>
        <w:bottom w:val="none" w:sz="0" w:space="0" w:color="auto"/>
        <w:right w:val="none" w:sz="0" w:space="0" w:color="auto"/>
      </w:divBdr>
    </w:div>
    <w:div w:id="1855027120">
      <w:bodyDiv w:val="1"/>
      <w:marLeft w:val="0"/>
      <w:marRight w:val="0"/>
      <w:marTop w:val="0"/>
      <w:marBottom w:val="0"/>
      <w:divBdr>
        <w:top w:val="none" w:sz="0" w:space="0" w:color="auto"/>
        <w:left w:val="none" w:sz="0" w:space="0" w:color="auto"/>
        <w:bottom w:val="none" w:sz="0" w:space="0" w:color="auto"/>
        <w:right w:val="none" w:sz="0" w:space="0" w:color="auto"/>
      </w:divBdr>
    </w:div>
    <w:div w:id="1892302526">
      <w:bodyDiv w:val="1"/>
      <w:marLeft w:val="0"/>
      <w:marRight w:val="0"/>
      <w:marTop w:val="0"/>
      <w:marBottom w:val="0"/>
      <w:divBdr>
        <w:top w:val="none" w:sz="0" w:space="0" w:color="auto"/>
        <w:left w:val="none" w:sz="0" w:space="0" w:color="auto"/>
        <w:bottom w:val="none" w:sz="0" w:space="0" w:color="auto"/>
        <w:right w:val="none" w:sz="0" w:space="0" w:color="auto"/>
      </w:divBdr>
    </w:div>
    <w:div w:id="1961692228">
      <w:bodyDiv w:val="1"/>
      <w:marLeft w:val="0"/>
      <w:marRight w:val="0"/>
      <w:marTop w:val="0"/>
      <w:marBottom w:val="0"/>
      <w:divBdr>
        <w:top w:val="none" w:sz="0" w:space="0" w:color="auto"/>
        <w:left w:val="none" w:sz="0" w:space="0" w:color="auto"/>
        <w:bottom w:val="none" w:sz="0" w:space="0" w:color="auto"/>
        <w:right w:val="none" w:sz="0" w:space="0" w:color="auto"/>
      </w:divBdr>
    </w:div>
    <w:div w:id="1971787027">
      <w:bodyDiv w:val="1"/>
      <w:marLeft w:val="0"/>
      <w:marRight w:val="0"/>
      <w:marTop w:val="0"/>
      <w:marBottom w:val="0"/>
      <w:divBdr>
        <w:top w:val="none" w:sz="0" w:space="0" w:color="auto"/>
        <w:left w:val="none" w:sz="0" w:space="0" w:color="auto"/>
        <w:bottom w:val="none" w:sz="0" w:space="0" w:color="auto"/>
        <w:right w:val="none" w:sz="0" w:space="0" w:color="auto"/>
      </w:divBdr>
    </w:div>
    <w:div w:id="2002005956">
      <w:bodyDiv w:val="1"/>
      <w:marLeft w:val="0"/>
      <w:marRight w:val="0"/>
      <w:marTop w:val="0"/>
      <w:marBottom w:val="0"/>
      <w:divBdr>
        <w:top w:val="none" w:sz="0" w:space="0" w:color="auto"/>
        <w:left w:val="none" w:sz="0" w:space="0" w:color="auto"/>
        <w:bottom w:val="none" w:sz="0" w:space="0" w:color="auto"/>
        <w:right w:val="none" w:sz="0" w:space="0" w:color="auto"/>
      </w:divBdr>
    </w:div>
    <w:div w:id="2029022997">
      <w:bodyDiv w:val="1"/>
      <w:marLeft w:val="0"/>
      <w:marRight w:val="0"/>
      <w:marTop w:val="0"/>
      <w:marBottom w:val="0"/>
      <w:divBdr>
        <w:top w:val="none" w:sz="0" w:space="0" w:color="auto"/>
        <w:left w:val="none" w:sz="0" w:space="0" w:color="auto"/>
        <w:bottom w:val="none" w:sz="0" w:space="0" w:color="auto"/>
        <w:right w:val="none" w:sz="0" w:space="0" w:color="auto"/>
      </w:divBdr>
    </w:div>
    <w:div w:id="2053574448">
      <w:bodyDiv w:val="1"/>
      <w:marLeft w:val="0"/>
      <w:marRight w:val="0"/>
      <w:marTop w:val="0"/>
      <w:marBottom w:val="0"/>
      <w:divBdr>
        <w:top w:val="none" w:sz="0" w:space="0" w:color="auto"/>
        <w:left w:val="none" w:sz="0" w:space="0" w:color="auto"/>
        <w:bottom w:val="none" w:sz="0" w:space="0" w:color="auto"/>
        <w:right w:val="none" w:sz="0" w:space="0" w:color="auto"/>
      </w:divBdr>
    </w:div>
    <w:div w:id="2057852850">
      <w:bodyDiv w:val="1"/>
      <w:marLeft w:val="0"/>
      <w:marRight w:val="0"/>
      <w:marTop w:val="0"/>
      <w:marBottom w:val="0"/>
      <w:divBdr>
        <w:top w:val="none" w:sz="0" w:space="0" w:color="auto"/>
        <w:left w:val="none" w:sz="0" w:space="0" w:color="auto"/>
        <w:bottom w:val="none" w:sz="0" w:space="0" w:color="auto"/>
        <w:right w:val="none" w:sz="0" w:space="0" w:color="auto"/>
      </w:divBdr>
    </w:div>
    <w:div w:id="2103640426">
      <w:bodyDiv w:val="1"/>
      <w:marLeft w:val="0"/>
      <w:marRight w:val="0"/>
      <w:marTop w:val="0"/>
      <w:marBottom w:val="0"/>
      <w:divBdr>
        <w:top w:val="none" w:sz="0" w:space="0" w:color="auto"/>
        <w:left w:val="none" w:sz="0" w:space="0" w:color="auto"/>
        <w:bottom w:val="none" w:sz="0" w:space="0" w:color="auto"/>
        <w:right w:val="none" w:sz="0" w:space="0" w:color="auto"/>
      </w:divBdr>
    </w:div>
    <w:div w:id="2113091188">
      <w:bodyDiv w:val="1"/>
      <w:marLeft w:val="0"/>
      <w:marRight w:val="0"/>
      <w:marTop w:val="0"/>
      <w:marBottom w:val="0"/>
      <w:divBdr>
        <w:top w:val="none" w:sz="0" w:space="0" w:color="auto"/>
        <w:left w:val="none" w:sz="0" w:space="0" w:color="auto"/>
        <w:bottom w:val="none" w:sz="0" w:space="0" w:color="auto"/>
        <w:right w:val="none" w:sz="0" w:space="0" w:color="auto"/>
      </w:divBdr>
    </w:div>
    <w:div w:id="21336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Hoja_de_c_lculo_de_Microsoft_Office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FC990-AB9E-4DE2-846C-63120E7C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25</Pages>
  <Words>10580</Words>
  <Characters>58192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Juan Luis</cp:lastModifiedBy>
  <cp:revision>22</cp:revision>
  <cp:lastPrinted>2021-03-16T12:46:00Z</cp:lastPrinted>
  <dcterms:created xsi:type="dcterms:W3CDTF">2020-02-09T19:16:00Z</dcterms:created>
  <dcterms:modified xsi:type="dcterms:W3CDTF">2021-03-29T11:10:00Z</dcterms:modified>
</cp:coreProperties>
</file>